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CAE9F" w14:textId="77777777" w:rsidR="00074CE9" w:rsidRPr="00074CE9" w:rsidRDefault="00074CE9" w:rsidP="00A95025">
      <w:pPr>
        <w:spacing w:after="245"/>
        <w:jc w:val="center"/>
        <w:rPr>
          <w:rFonts w:ascii="Times New Roman" w:hAnsi="Times New Roman" w:cs="Times New Roman"/>
        </w:rPr>
      </w:pPr>
    </w:p>
    <w:p w14:paraId="5AB9D2C9" w14:textId="77777777" w:rsidR="00074CE9" w:rsidRPr="00074CE9" w:rsidRDefault="00074CE9" w:rsidP="00074CE9">
      <w:pPr>
        <w:jc w:val="center"/>
        <w:rPr>
          <w:rFonts w:ascii="Times New Roman" w:hAnsi="Times New Roman" w:cs="Times New Roman"/>
        </w:rPr>
      </w:pPr>
    </w:p>
    <w:p w14:paraId="7946CD04" w14:textId="77777777" w:rsidR="00074CE9" w:rsidRPr="00074CE9" w:rsidRDefault="00074CE9" w:rsidP="00074CE9">
      <w:pPr>
        <w:jc w:val="center"/>
        <w:rPr>
          <w:rFonts w:ascii="Times New Roman" w:hAnsi="Times New Roman" w:cs="Times New Roman"/>
        </w:rPr>
      </w:pPr>
    </w:p>
    <w:p w14:paraId="62C29F8A" w14:textId="77777777" w:rsidR="00074CE9" w:rsidRPr="00074CE9" w:rsidRDefault="00074CE9" w:rsidP="00074CE9">
      <w:pPr>
        <w:jc w:val="center"/>
        <w:rPr>
          <w:rFonts w:ascii="Times New Roman" w:hAnsi="Times New Roman" w:cs="Times New Roman"/>
        </w:rPr>
      </w:pPr>
    </w:p>
    <w:p w14:paraId="4C0C1F16" w14:textId="77777777" w:rsidR="00074CE9" w:rsidRPr="00074CE9" w:rsidRDefault="00074CE9" w:rsidP="00074CE9">
      <w:pPr>
        <w:jc w:val="center"/>
        <w:rPr>
          <w:rFonts w:ascii="Times New Roman" w:hAnsi="Times New Roman" w:cs="Times New Roman"/>
        </w:rPr>
      </w:pPr>
    </w:p>
    <w:p w14:paraId="25CC02A9" w14:textId="490B4FA5" w:rsidR="00B079A0" w:rsidRPr="0084485B" w:rsidRDefault="543E32F2" w:rsidP="3B1A9516">
      <w:pPr>
        <w:jc w:val="center"/>
        <w:rPr>
          <w:rFonts w:ascii="Times New Roman" w:hAnsi="Times New Roman" w:cs="Times New Roman"/>
        </w:rPr>
      </w:pPr>
      <w:r w:rsidRPr="0084485B">
        <w:rPr>
          <w:rFonts w:ascii="Times New Roman" w:hAnsi="Times New Roman" w:cs="Times New Roman"/>
          <w:noProof/>
        </w:rPr>
        <w:drawing>
          <wp:inline distT="0" distB="0" distL="0" distR="0" wp14:anchorId="5D9B200B" wp14:editId="732A0D23">
            <wp:extent cx="4572000" cy="1143000"/>
            <wp:effectExtent l="0" t="0" r="0" b="0"/>
            <wp:docPr id="852314187" name="drawing">
              <a:extLst xmlns:a="http://schemas.openxmlformats.org/drawingml/2006/main">
                <a:ext uri="{FF2B5EF4-FFF2-40B4-BE49-F238E27FC236}">
                  <a16:creationId xmlns:a16="http://schemas.microsoft.com/office/drawing/2014/main" id="{61059998-EC98-4973-BCBF-E6A3D34C07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314187" name=""/>
                    <pic:cNvPicPr/>
                  </pic:nvPicPr>
                  <pic:blipFill>
                    <a:blip r:embed="rId5">
                      <a:extLst>
                        <a:ext uri="{28A0092B-C50C-407E-A947-70E740481C1C}">
                          <a14:useLocalDpi xmlns:a14="http://schemas.microsoft.com/office/drawing/2010/main" val="0"/>
                        </a:ext>
                      </a:extLst>
                    </a:blip>
                    <a:stretch>
                      <a:fillRect/>
                    </a:stretch>
                  </pic:blipFill>
                  <pic:spPr>
                    <a:xfrm>
                      <a:off x="0" y="0"/>
                      <a:ext cx="4572000" cy="1143000"/>
                    </a:xfrm>
                    <a:prstGeom prst="rect">
                      <a:avLst/>
                    </a:prstGeom>
                  </pic:spPr>
                </pic:pic>
              </a:graphicData>
            </a:graphic>
          </wp:inline>
        </w:drawing>
      </w:r>
    </w:p>
    <w:p w14:paraId="688C0460" w14:textId="5B4BB11B" w:rsidR="00D0726C" w:rsidRPr="001677A9" w:rsidRDefault="00D0726C" w:rsidP="00D0726C">
      <w:pPr>
        <w:jc w:val="center"/>
        <w:rPr>
          <w:rFonts w:ascii="Times New Roman" w:hAnsi="Times New Roman" w:cs="Times New Roman"/>
          <w:b/>
          <w:bCs/>
          <w:sz w:val="32"/>
          <w:szCs w:val="32"/>
        </w:rPr>
      </w:pPr>
      <w:r w:rsidRPr="001677A9">
        <w:rPr>
          <w:rFonts w:ascii="Times New Roman" w:hAnsi="Times New Roman" w:cs="Times New Roman"/>
          <w:b/>
          <w:bCs/>
          <w:sz w:val="32"/>
          <w:szCs w:val="32"/>
        </w:rPr>
        <w:t>Fall 2025 Valuation Project:</w:t>
      </w:r>
    </w:p>
    <w:p w14:paraId="13B7C114" w14:textId="428A8E63" w:rsidR="00D0726C" w:rsidRPr="001677A9" w:rsidRDefault="643BCB8F" w:rsidP="00D0726C">
      <w:pPr>
        <w:jc w:val="center"/>
        <w:rPr>
          <w:rFonts w:ascii="Times New Roman" w:hAnsi="Times New Roman" w:cs="Times New Roman"/>
          <w:b/>
          <w:bCs/>
          <w:sz w:val="32"/>
          <w:szCs w:val="32"/>
        </w:rPr>
      </w:pPr>
      <w:r w:rsidRPr="3B1A9516">
        <w:rPr>
          <w:rFonts w:ascii="Times New Roman" w:hAnsi="Times New Roman" w:cs="Times New Roman"/>
          <w:b/>
          <w:bCs/>
          <w:sz w:val="32"/>
          <w:szCs w:val="32"/>
        </w:rPr>
        <w:t>Molson Coors Beverage Co</w:t>
      </w:r>
      <w:r w:rsidR="00D0726C" w:rsidRPr="3B1A9516">
        <w:rPr>
          <w:rFonts w:ascii="Times New Roman" w:hAnsi="Times New Roman" w:cs="Times New Roman"/>
          <w:b/>
          <w:bCs/>
          <w:sz w:val="32"/>
          <w:szCs w:val="32"/>
        </w:rPr>
        <w:t>.</w:t>
      </w:r>
    </w:p>
    <w:p w14:paraId="7A92048B" w14:textId="554C82D8" w:rsidR="001677A9" w:rsidRDefault="001677A9" w:rsidP="00D0726C">
      <w:pPr>
        <w:jc w:val="center"/>
        <w:rPr>
          <w:rFonts w:ascii="Times New Roman" w:hAnsi="Times New Roman" w:cs="Times New Roman"/>
        </w:rPr>
      </w:pPr>
      <w:r>
        <w:rPr>
          <w:rFonts w:ascii="Times New Roman" w:hAnsi="Times New Roman" w:cs="Times New Roman"/>
        </w:rPr>
        <w:t>FNCE 3415</w:t>
      </w:r>
    </w:p>
    <w:p w14:paraId="24E1E6DD" w14:textId="3298B068" w:rsidR="008E13A5" w:rsidRDefault="001677A9" w:rsidP="00D0726C">
      <w:pPr>
        <w:jc w:val="center"/>
        <w:rPr>
          <w:rFonts w:ascii="Times New Roman" w:hAnsi="Times New Roman" w:cs="Times New Roman"/>
        </w:rPr>
      </w:pPr>
      <w:r>
        <w:rPr>
          <w:rFonts w:ascii="Times New Roman" w:hAnsi="Times New Roman" w:cs="Times New Roman"/>
        </w:rPr>
        <w:t>By: George Tupy</w:t>
      </w:r>
    </w:p>
    <w:p w14:paraId="6A788E71" w14:textId="77777777" w:rsidR="008E13A5" w:rsidRDefault="008E13A5">
      <w:pPr>
        <w:rPr>
          <w:rFonts w:ascii="Times New Roman" w:hAnsi="Times New Roman" w:cs="Times New Roman"/>
        </w:rPr>
      </w:pPr>
      <w:r w:rsidRPr="6D484AD6">
        <w:rPr>
          <w:rFonts w:ascii="Times New Roman" w:hAnsi="Times New Roman" w:cs="Times New Roman"/>
        </w:rPr>
        <w:br w:type="page"/>
      </w:r>
    </w:p>
    <w:p w14:paraId="5CACB355" w14:textId="6D2B359E" w:rsidR="6D484AD6" w:rsidRPr="0084485B" w:rsidRDefault="6D484AD6" w:rsidP="6D484AD6">
      <w:pPr>
        <w:pStyle w:val="Heading1"/>
        <w:rPr>
          <w:rFonts w:ascii="Times New Roman" w:hAnsi="Times New Roman" w:cs="Times New Roman"/>
        </w:rPr>
      </w:pPr>
      <w:r w:rsidRPr="0084485B">
        <w:rPr>
          <w:rFonts w:ascii="Times New Roman" w:hAnsi="Times New Roman" w:cs="Times New Roman"/>
        </w:rPr>
        <w:lastRenderedPageBreak/>
        <w:t xml:space="preserve">1. </w:t>
      </w:r>
      <w:r w:rsidR="48FE5E25" w:rsidRPr="0084485B">
        <w:rPr>
          <w:rFonts w:ascii="Times New Roman" w:hAnsi="Times New Roman" w:cs="Times New Roman"/>
        </w:rPr>
        <w:t>Executive Summary</w:t>
      </w:r>
    </w:p>
    <w:p w14:paraId="09D50DC4" w14:textId="752B0FB5" w:rsidR="006F7C51" w:rsidRPr="0084485B" w:rsidRDefault="00D21B9A" w:rsidP="006F7C51">
      <w:pPr>
        <w:ind w:firstLine="0"/>
        <w:rPr>
          <w:rFonts w:ascii="Times New Roman" w:hAnsi="Times New Roman" w:cs="Times New Roman"/>
        </w:rPr>
      </w:pPr>
      <w:r w:rsidRPr="0084485B">
        <w:rPr>
          <w:rFonts w:ascii="Times New Roman" w:hAnsi="Times New Roman" w:cs="Times New Roman"/>
        </w:rPr>
        <w:tab/>
      </w:r>
      <w:r w:rsidR="006F7C51" w:rsidRPr="0084485B">
        <w:rPr>
          <w:rFonts w:ascii="Times New Roman" w:hAnsi="Times New Roman" w:cs="Times New Roman"/>
        </w:rPr>
        <w:t xml:space="preserve">Molson Coors Beverage Company </w:t>
      </w:r>
      <w:r w:rsidR="004711CC" w:rsidRPr="0084485B">
        <w:rPr>
          <w:rFonts w:ascii="Times New Roman" w:hAnsi="Times New Roman" w:cs="Times New Roman"/>
        </w:rPr>
        <w:t xml:space="preserve">(TAP) </w:t>
      </w:r>
      <w:r w:rsidR="006F7C51" w:rsidRPr="0084485B">
        <w:rPr>
          <w:rFonts w:ascii="Times New Roman" w:hAnsi="Times New Roman" w:cs="Times New Roman"/>
        </w:rPr>
        <w:t xml:space="preserve">is a leading global brewer with a portfolio of iconic brands including Coors Light, Miller Lite, Blue Moon, and Molson Canadian, complemented by fast-growing premium and beyond-beer offerings such as Peroni, Madri, Simply Spiked, and ZOA Energy. Following a period of pandemic-driven volatility and supply-chain disruptions, the company has demonstrated renewed operational discipline, improved pricing execution, and a more focused capital allocation strategy. Despite these improvements, </w:t>
      </w:r>
      <w:r w:rsidR="004711CC" w:rsidRPr="0084485B">
        <w:rPr>
          <w:rFonts w:ascii="Times New Roman" w:hAnsi="Times New Roman" w:cs="Times New Roman"/>
        </w:rPr>
        <w:t>TAP</w:t>
      </w:r>
      <w:r w:rsidR="006F7C51" w:rsidRPr="0084485B">
        <w:rPr>
          <w:rFonts w:ascii="Times New Roman" w:hAnsi="Times New Roman" w:cs="Times New Roman"/>
        </w:rPr>
        <w:t xml:space="preserve"> continues to face challenges, including declining domestic beer </w:t>
      </w:r>
      <w:r w:rsidR="00910300" w:rsidRPr="0084485B">
        <w:rPr>
          <w:rFonts w:ascii="Times New Roman" w:hAnsi="Times New Roman" w:cs="Times New Roman"/>
        </w:rPr>
        <w:t>demand</w:t>
      </w:r>
      <w:r w:rsidR="006F7C51" w:rsidRPr="0084485B">
        <w:rPr>
          <w:rFonts w:ascii="Times New Roman" w:hAnsi="Times New Roman" w:cs="Times New Roman"/>
        </w:rPr>
        <w:t>, rising input costs</w:t>
      </w:r>
      <w:r w:rsidR="001179E2" w:rsidRPr="0084485B">
        <w:rPr>
          <w:rFonts w:ascii="Times New Roman" w:hAnsi="Times New Roman" w:cs="Times New Roman"/>
        </w:rPr>
        <w:t xml:space="preserve">, </w:t>
      </w:r>
      <w:r w:rsidR="006F7C51" w:rsidRPr="0084485B">
        <w:rPr>
          <w:rFonts w:ascii="Times New Roman" w:hAnsi="Times New Roman" w:cs="Times New Roman"/>
        </w:rPr>
        <w:t xml:space="preserve">and uncertainty stemming from leadership transition following the announced retirement of CEO Gavin Hattersley. </w:t>
      </w:r>
    </w:p>
    <w:p w14:paraId="70294ACA" w14:textId="515414F7" w:rsidR="006F7C51" w:rsidRPr="0084485B" w:rsidRDefault="006F7C51" w:rsidP="006F7C51">
      <w:pPr>
        <w:ind w:firstLine="720"/>
        <w:rPr>
          <w:rFonts w:ascii="Times New Roman" w:hAnsi="Times New Roman" w:cs="Times New Roman"/>
        </w:rPr>
      </w:pPr>
      <w:r w:rsidRPr="0084485B">
        <w:rPr>
          <w:rFonts w:ascii="Times New Roman" w:hAnsi="Times New Roman" w:cs="Times New Roman"/>
        </w:rPr>
        <w:t xml:space="preserve">Our valuation utilized both a discounted cash flow (DCF) framework and a comprehensive set of relative valuation multiples. The DCF model incorporated conservative assumptions reflecting industry maturation, inflationary COGS pressures, and management uncertainty. Key inputs include a </w:t>
      </w:r>
      <w:r w:rsidR="00607376" w:rsidRPr="0084485B">
        <w:rPr>
          <w:rFonts w:ascii="Times New Roman" w:hAnsi="Times New Roman" w:cs="Times New Roman"/>
        </w:rPr>
        <w:t>terminal</w:t>
      </w:r>
      <w:r w:rsidRPr="0084485B">
        <w:rPr>
          <w:rFonts w:ascii="Times New Roman" w:hAnsi="Times New Roman" w:cs="Times New Roman"/>
        </w:rPr>
        <w:t xml:space="preserve"> growth rate of 1.5%, a peer-based terminal EBITDA multiple of 11.3x, and a WACC </w:t>
      </w:r>
      <w:r w:rsidR="003176E7" w:rsidRPr="0084485B">
        <w:rPr>
          <w:rFonts w:ascii="Times New Roman" w:hAnsi="Times New Roman" w:cs="Times New Roman"/>
        </w:rPr>
        <w:t xml:space="preserve">of </w:t>
      </w:r>
      <w:r w:rsidR="00094DB8" w:rsidRPr="0084485B">
        <w:rPr>
          <w:rFonts w:ascii="Times New Roman" w:hAnsi="Times New Roman" w:cs="Times New Roman"/>
        </w:rPr>
        <w:t>6.7</w:t>
      </w:r>
      <w:r w:rsidR="00EC3F32" w:rsidRPr="0084485B">
        <w:rPr>
          <w:rFonts w:ascii="Times New Roman" w:hAnsi="Times New Roman" w:cs="Times New Roman"/>
        </w:rPr>
        <w:t>%</w:t>
      </w:r>
      <w:r w:rsidRPr="0084485B">
        <w:rPr>
          <w:rFonts w:ascii="Times New Roman" w:hAnsi="Times New Roman" w:cs="Times New Roman"/>
        </w:rPr>
        <w:t xml:space="preserve">. Our relative valuation included EV/Sales, EV/EBITDA, EV/EBIT, forward P/E, PEG, and Price-to-Book multiples drawn from a carefully constructed peer set consisting of AB InBev, Heineken, Carlsberg, Asahi, Boston Beer, and Constellation Brands, all of which share Molson Coors’ scale, portfolio mix, or </w:t>
      </w:r>
      <w:r w:rsidR="004A4D07" w:rsidRPr="0084485B">
        <w:rPr>
          <w:rFonts w:ascii="Times New Roman" w:hAnsi="Times New Roman" w:cs="Times New Roman"/>
        </w:rPr>
        <w:t>multinational</w:t>
      </w:r>
      <w:r w:rsidRPr="0084485B">
        <w:rPr>
          <w:rFonts w:ascii="Times New Roman" w:hAnsi="Times New Roman" w:cs="Times New Roman"/>
        </w:rPr>
        <w:t xml:space="preserve"> focus.  </w:t>
      </w:r>
    </w:p>
    <w:p w14:paraId="5CCD814B" w14:textId="011C3DC8" w:rsidR="6D484AD6" w:rsidRPr="0084485B" w:rsidRDefault="006F7C51" w:rsidP="006F7C51">
      <w:pPr>
        <w:ind w:firstLine="720"/>
        <w:rPr>
          <w:rFonts w:ascii="Times New Roman" w:hAnsi="Times New Roman" w:cs="Times New Roman"/>
        </w:rPr>
      </w:pPr>
      <w:r w:rsidRPr="0084485B">
        <w:rPr>
          <w:rFonts w:ascii="Times New Roman" w:hAnsi="Times New Roman" w:cs="Times New Roman"/>
        </w:rPr>
        <w:t xml:space="preserve">Across </w:t>
      </w:r>
      <w:r w:rsidR="00480235" w:rsidRPr="0084485B">
        <w:rPr>
          <w:rFonts w:ascii="Times New Roman" w:hAnsi="Times New Roman" w:cs="Times New Roman"/>
        </w:rPr>
        <w:t>our valuatio</w:t>
      </w:r>
      <w:r w:rsidR="008524D9" w:rsidRPr="0084485B">
        <w:rPr>
          <w:rFonts w:ascii="Times New Roman" w:hAnsi="Times New Roman" w:cs="Times New Roman"/>
        </w:rPr>
        <w:t>n</w:t>
      </w:r>
      <w:r w:rsidRPr="0084485B">
        <w:rPr>
          <w:rFonts w:ascii="Times New Roman" w:hAnsi="Times New Roman" w:cs="Times New Roman"/>
        </w:rPr>
        <w:t xml:space="preserve">, </w:t>
      </w:r>
      <w:r w:rsidR="004711CC" w:rsidRPr="0084485B">
        <w:rPr>
          <w:rFonts w:ascii="Times New Roman" w:hAnsi="Times New Roman" w:cs="Times New Roman"/>
        </w:rPr>
        <w:t>TAP</w:t>
      </w:r>
      <w:r w:rsidRPr="0084485B">
        <w:rPr>
          <w:rFonts w:ascii="Times New Roman" w:hAnsi="Times New Roman" w:cs="Times New Roman"/>
        </w:rPr>
        <w:t xml:space="preserve"> appears to trade at a substantial discount to intrinsic value. The relative valuation range of </w:t>
      </w:r>
      <w:r w:rsidR="00EE6950" w:rsidRPr="0084485B">
        <w:rPr>
          <w:rFonts w:ascii="Times New Roman" w:hAnsi="Times New Roman" w:cs="Times New Roman"/>
        </w:rPr>
        <w:t>about $77-$96</w:t>
      </w:r>
      <w:r w:rsidRPr="0084485B">
        <w:rPr>
          <w:rFonts w:ascii="Times New Roman" w:hAnsi="Times New Roman" w:cs="Times New Roman"/>
        </w:rPr>
        <w:t xml:space="preserve"> per share, combined with a DCF-based intrinsic value range of </w:t>
      </w:r>
      <w:r w:rsidR="00EE6950" w:rsidRPr="0084485B">
        <w:rPr>
          <w:rFonts w:ascii="Times New Roman" w:hAnsi="Times New Roman" w:cs="Times New Roman"/>
        </w:rPr>
        <w:t xml:space="preserve">about </w:t>
      </w:r>
      <w:r w:rsidRPr="0084485B">
        <w:rPr>
          <w:rFonts w:ascii="Times New Roman" w:hAnsi="Times New Roman" w:cs="Times New Roman"/>
        </w:rPr>
        <w:t>$</w:t>
      </w:r>
      <w:r w:rsidR="00EE6950" w:rsidRPr="0084485B">
        <w:rPr>
          <w:rFonts w:ascii="Times New Roman" w:hAnsi="Times New Roman" w:cs="Times New Roman"/>
        </w:rPr>
        <w:t>86-$95</w:t>
      </w:r>
      <w:r w:rsidRPr="0084485B">
        <w:rPr>
          <w:rFonts w:ascii="Times New Roman" w:hAnsi="Times New Roman" w:cs="Times New Roman"/>
        </w:rPr>
        <w:t xml:space="preserve">, suggests meaningful undervaluation relative to its </w:t>
      </w:r>
      <w:r w:rsidR="00606302" w:rsidRPr="0084485B">
        <w:rPr>
          <w:rFonts w:ascii="Times New Roman" w:hAnsi="Times New Roman" w:cs="Times New Roman"/>
        </w:rPr>
        <w:t xml:space="preserve">trading price at the time of valuation </w:t>
      </w:r>
      <w:r w:rsidR="008B1427">
        <w:rPr>
          <w:rFonts w:ascii="Times New Roman" w:hAnsi="Times New Roman" w:cs="Times New Roman"/>
        </w:rPr>
        <w:t>around $45</w:t>
      </w:r>
      <w:r w:rsidRPr="0084485B">
        <w:rPr>
          <w:rFonts w:ascii="Times New Roman" w:hAnsi="Times New Roman" w:cs="Times New Roman"/>
        </w:rPr>
        <w:t xml:space="preserve">. This disconnect is driven largely by short-term </w:t>
      </w:r>
      <w:r w:rsidR="002D0736" w:rsidRPr="0084485B">
        <w:rPr>
          <w:rFonts w:ascii="Times New Roman" w:hAnsi="Times New Roman" w:cs="Times New Roman"/>
        </w:rPr>
        <w:t>demand</w:t>
      </w:r>
      <w:r w:rsidRPr="0084485B">
        <w:rPr>
          <w:rFonts w:ascii="Times New Roman" w:hAnsi="Times New Roman" w:cs="Times New Roman"/>
        </w:rPr>
        <w:t xml:space="preserve"> weakness, tariff-related cost volatility, and market concerns around CEO succession rather than deterioration in long-term fundamentals. </w:t>
      </w:r>
      <w:r w:rsidR="00D82A8D" w:rsidRPr="0084485B">
        <w:rPr>
          <w:rFonts w:ascii="Times New Roman" w:hAnsi="Times New Roman" w:cs="Times New Roman"/>
        </w:rPr>
        <w:t>There</w:t>
      </w:r>
      <w:r w:rsidR="00082969" w:rsidRPr="0084485B">
        <w:rPr>
          <w:rFonts w:ascii="Times New Roman" w:hAnsi="Times New Roman" w:cs="Times New Roman"/>
        </w:rPr>
        <w:t>fore</w:t>
      </w:r>
      <w:r w:rsidRPr="0084485B">
        <w:rPr>
          <w:rFonts w:ascii="Times New Roman" w:hAnsi="Times New Roman" w:cs="Times New Roman"/>
        </w:rPr>
        <w:t xml:space="preserve">, </w:t>
      </w:r>
      <w:r w:rsidR="00082969" w:rsidRPr="0084485B">
        <w:rPr>
          <w:rFonts w:ascii="Times New Roman" w:hAnsi="Times New Roman" w:cs="Times New Roman"/>
        </w:rPr>
        <w:t>ou</w:t>
      </w:r>
      <w:r w:rsidR="00337FD0" w:rsidRPr="0084485B">
        <w:rPr>
          <w:rFonts w:ascii="Times New Roman" w:hAnsi="Times New Roman" w:cs="Times New Roman"/>
        </w:rPr>
        <w:t>r</w:t>
      </w:r>
      <w:r w:rsidRPr="0084485B">
        <w:rPr>
          <w:rFonts w:ascii="Times New Roman" w:hAnsi="Times New Roman" w:cs="Times New Roman"/>
        </w:rPr>
        <w:t xml:space="preserve"> analys</w:t>
      </w:r>
      <w:r w:rsidR="00F5687A" w:rsidRPr="0084485B">
        <w:rPr>
          <w:rFonts w:ascii="Times New Roman" w:hAnsi="Times New Roman" w:cs="Times New Roman"/>
        </w:rPr>
        <w:t>i</w:t>
      </w:r>
      <w:r w:rsidRPr="0084485B">
        <w:rPr>
          <w:rFonts w:ascii="Times New Roman" w:hAnsi="Times New Roman" w:cs="Times New Roman"/>
        </w:rPr>
        <w:t>s</w:t>
      </w:r>
      <w:r w:rsidR="00AC4E8A" w:rsidRPr="0084485B">
        <w:rPr>
          <w:rFonts w:ascii="Times New Roman" w:hAnsi="Times New Roman" w:cs="Times New Roman"/>
        </w:rPr>
        <w:t xml:space="preserve"> </w:t>
      </w:r>
      <w:r w:rsidR="009A3A74" w:rsidRPr="0084485B">
        <w:rPr>
          <w:rFonts w:ascii="Times New Roman" w:hAnsi="Times New Roman" w:cs="Times New Roman"/>
        </w:rPr>
        <w:t>maintains</w:t>
      </w:r>
      <w:r w:rsidRPr="0084485B">
        <w:rPr>
          <w:rFonts w:ascii="Times New Roman" w:hAnsi="Times New Roman" w:cs="Times New Roman"/>
        </w:rPr>
        <w:t xml:space="preserve"> a Strong Buy recommendation, reflecting favorable upside for long-term investors seeking exposure to a stable cash-flow-generating beverage company</w:t>
      </w:r>
      <w:r w:rsidR="003527A2" w:rsidRPr="0084485B">
        <w:rPr>
          <w:rFonts w:ascii="Times New Roman" w:hAnsi="Times New Roman" w:cs="Times New Roman"/>
        </w:rPr>
        <w:t xml:space="preserve"> </w:t>
      </w:r>
      <w:r w:rsidR="003527A2" w:rsidRPr="0084485B">
        <w:rPr>
          <w:rFonts w:ascii="Times New Roman" w:hAnsi="Times New Roman" w:cs="Times New Roman"/>
        </w:rPr>
        <w:lastRenderedPageBreak/>
        <w:t>which is also</w:t>
      </w:r>
      <w:r w:rsidRPr="0084485B">
        <w:rPr>
          <w:rFonts w:ascii="Times New Roman" w:hAnsi="Times New Roman" w:cs="Times New Roman"/>
        </w:rPr>
        <w:t xml:space="preserve"> positioned for gradual diversified growth</w:t>
      </w:r>
      <w:r w:rsidR="002E3450" w:rsidRPr="0084485B">
        <w:rPr>
          <w:rFonts w:ascii="Times New Roman" w:hAnsi="Times New Roman" w:cs="Times New Roman"/>
        </w:rPr>
        <w:t xml:space="preserve"> within the beverage industry</w:t>
      </w:r>
      <w:r w:rsidRPr="0084485B">
        <w:rPr>
          <w:rFonts w:ascii="Times New Roman" w:hAnsi="Times New Roman" w:cs="Times New Roman"/>
        </w:rPr>
        <w:t xml:space="preserve">. </w:t>
      </w:r>
      <w:r w:rsidR="00255357" w:rsidRPr="0084485B">
        <w:rPr>
          <w:rFonts w:ascii="Times New Roman" w:hAnsi="Times New Roman" w:cs="Times New Roman"/>
        </w:rPr>
        <w:t>Our final estimated price target range is</w:t>
      </w:r>
      <w:r w:rsidR="00660B8A">
        <w:rPr>
          <w:rFonts w:ascii="Times New Roman" w:hAnsi="Times New Roman" w:cs="Times New Roman"/>
        </w:rPr>
        <w:t xml:space="preserve"> $80-$100. </w:t>
      </w:r>
    </w:p>
    <w:p w14:paraId="393CC05B" w14:textId="36E5B341" w:rsidR="001677A9" w:rsidRPr="0084485B" w:rsidRDefault="5A8168A5" w:rsidP="00E062C9">
      <w:pPr>
        <w:pStyle w:val="Heading1"/>
        <w:rPr>
          <w:rFonts w:ascii="Times New Roman" w:hAnsi="Times New Roman" w:cs="Times New Roman"/>
        </w:rPr>
      </w:pPr>
      <w:r w:rsidRPr="0084485B">
        <w:rPr>
          <w:rFonts w:ascii="Times New Roman" w:hAnsi="Times New Roman" w:cs="Times New Roman"/>
        </w:rPr>
        <w:t xml:space="preserve">2. </w:t>
      </w:r>
      <w:r w:rsidR="008E27AD" w:rsidRPr="0084485B">
        <w:rPr>
          <w:rFonts w:ascii="Times New Roman" w:hAnsi="Times New Roman" w:cs="Times New Roman"/>
        </w:rPr>
        <w:t>Company Overview</w:t>
      </w:r>
    </w:p>
    <w:p w14:paraId="493DA673" w14:textId="77777777" w:rsidR="002C5487" w:rsidRPr="0084485B" w:rsidRDefault="00D17866" w:rsidP="00E062C9">
      <w:pPr>
        <w:pStyle w:val="Heading2"/>
        <w:rPr>
          <w:rFonts w:ascii="Times New Roman" w:hAnsi="Times New Roman" w:cs="Times New Roman"/>
        </w:rPr>
      </w:pPr>
      <w:r w:rsidRPr="0084485B">
        <w:rPr>
          <w:rFonts w:ascii="Times New Roman" w:hAnsi="Times New Roman" w:cs="Times New Roman"/>
        </w:rPr>
        <w:t xml:space="preserve">History </w:t>
      </w:r>
      <w:r w:rsidR="002C5487" w:rsidRPr="0084485B">
        <w:rPr>
          <w:rFonts w:ascii="Times New Roman" w:hAnsi="Times New Roman" w:cs="Times New Roman"/>
        </w:rPr>
        <w:t>and Identity</w:t>
      </w:r>
    </w:p>
    <w:p w14:paraId="2D5DEA7B" w14:textId="0DDC4D4A" w:rsidR="00F57DEB" w:rsidRPr="0084485B" w:rsidRDefault="7456683E" w:rsidP="54BFFA7B">
      <w:pPr>
        <w:rPr>
          <w:rFonts w:ascii="Times New Roman" w:hAnsi="Times New Roman" w:cs="Times New Roman"/>
        </w:rPr>
      </w:pPr>
      <w:r w:rsidRPr="0084485B">
        <w:rPr>
          <w:rFonts w:ascii="Times New Roman" w:hAnsi="Times New Roman" w:cs="Times New Roman"/>
        </w:rPr>
        <w:t>Molson Coors Beverage Company is a leading North American and European producer of beer and alternative alcohol beverages. The firm traces its origins to John Molson, who established Molson Brewery in Montreal in 1786, and Adolph Coors, who founded Coors Brewing in Golden, Colorado in 1873.</w:t>
      </w:r>
      <w:r w:rsidR="53CA2D08" w:rsidRPr="0084485B">
        <w:rPr>
          <w:rFonts w:ascii="Times New Roman" w:hAnsi="Times New Roman" w:cs="Times New Roman"/>
        </w:rPr>
        <w:t xml:space="preserve"> The two companies merged in 2005, forming Molson Coors Brewing Company</w:t>
      </w:r>
      <w:r w:rsidR="003710D2" w:rsidRPr="0084485B">
        <w:rPr>
          <w:rFonts w:ascii="Times New Roman" w:hAnsi="Times New Roman" w:cs="Times New Roman"/>
        </w:rPr>
        <w:t xml:space="preserve"> (TAP).</w:t>
      </w:r>
    </w:p>
    <w:p w14:paraId="40171335" w14:textId="69ACE52E" w:rsidR="00F57DEB" w:rsidRPr="0084485B" w:rsidRDefault="00F57DEB" w:rsidP="54BFFA7B">
      <w:pPr>
        <w:pStyle w:val="Heading2"/>
        <w:rPr>
          <w:rFonts w:ascii="Times New Roman" w:hAnsi="Times New Roman" w:cs="Times New Roman"/>
        </w:rPr>
      </w:pPr>
      <w:r w:rsidRPr="0084485B">
        <w:rPr>
          <w:rFonts w:ascii="Times New Roman" w:hAnsi="Times New Roman" w:cs="Times New Roman"/>
        </w:rPr>
        <w:t>Products</w:t>
      </w:r>
    </w:p>
    <w:p w14:paraId="620076BE" w14:textId="75E386B0" w:rsidR="6D4947D0" w:rsidRPr="0084485B" w:rsidRDefault="6D4947D0" w:rsidP="006A14F8">
      <w:pPr>
        <w:spacing w:after="0"/>
        <w:rPr>
          <w:rFonts w:ascii="Times New Roman" w:hAnsi="Times New Roman" w:cs="Times New Roman"/>
        </w:rPr>
      </w:pPr>
      <w:r w:rsidRPr="0084485B">
        <w:rPr>
          <w:rFonts w:ascii="Times New Roman" w:hAnsi="Times New Roman" w:cs="Times New Roman"/>
        </w:rPr>
        <w:t>Core brands:</w:t>
      </w:r>
    </w:p>
    <w:p w14:paraId="47A60B88" w14:textId="7D63E557" w:rsidR="6D4947D0" w:rsidRPr="0084485B" w:rsidRDefault="6D4947D0" w:rsidP="54BFFA7B">
      <w:pPr>
        <w:pStyle w:val="ListParagraph"/>
        <w:numPr>
          <w:ilvl w:val="0"/>
          <w:numId w:val="4"/>
        </w:numPr>
        <w:rPr>
          <w:rFonts w:ascii="Times New Roman" w:hAnsi="Times New Roman" w:cs="Times New Roman"/>
        </w:rPr>
      </w:pPr>
      <w:r w:rsidRPr="0084485B">
        <w:rPr>
          <w:rFonts w:ascii="Times New Roman" w:hAnsi="Times New Roman" w:cs="Times New Roman"/>
        </w:rPr>
        <w:t xml:space="preserve">Coors Light, Miller Lite, Coors Banquet, Molson Canadian, Blue Moon, Leinenkugel’s, Carling, and </w:t>
      </w:r>
      <w:proofErr w:type="spellStart"/>
      <w:r w:rsidRPr="0084485B">
        <w:rPr>
          <w:rFonts w:ascii="Times New Roman" w:hAnsi="Times New Roman" w:cs="Times New Roman"/>
        </w:rPr>
        <w:t>Staropramen</w:t>
      </w:r>
      <w:proofErr w:type="spellEnd"/>
      <w:r w:rsidRPr="0084485B">
        <w:rPr>
          <w:rFonts w:ascii="Times New Roman" w:hAnsi="Times New Roman" w:cs="Times New Roman"/>
        </w:rPr>
        <w:t>.</w:t>
      </w:r>
    </w:p>
    <w:p w14:paraId="57226E2D" w14:textId="7B9F3628" w:rsidR="6D4947D0" w:rsidRPr="0084485B" w:rsidRDefault="6D4947D0" w:rsidP="006A14F8">
      <w:pPr>
        <w:spacing w:after="0"/>
        <w:rPr>
          <w:rFonts w:ascii="Times New Roman" w:hAnsi="Times New Roman" w:cs="Times New Roman"/>
        </w:rPr>
      </w:pPr>
      <w:r w:rsidRPr="0084485B">
        <w:rPr>
          <w:rFonts w:ascii="Times New Roman" w:hAnsi="Times New Roman" w:cs="Times New Roman"/>
        </w:rPr>
        <w:t>Emerging and premium offerings:</w:t>
      </w:r>
    </w:p>
    <w:p w14:paraId="69D460D6" w14:textId="585D9D24" w:rsidR="6D4947D0" w:rsidRPr="0084485B" w:rsidRDefault="6D4947D0" w:rsidP="54BFFA7B">
      <w:pPr>
        <w:pStyle w:val="ListParagraph"/>
        <w:numPr>
          <w:ilvl w:val="0"/>
          <w:numId w:val="3"/>
        </w:numPr>
        <w:rPr>
          <w:rFonts w:ascii="Times New Roman" w:hAnsi="Times New Roman" w:cs="Times New Roman"/>
        </w:rPr>
      </w:pPr>
      <w:proofErr w:type="spellStart"/>
      <w:r w:rsidRPr="0084485B">
        <w:rPr>
          <w:rFonts w:ascii="Times New Roman" w:hAnsi="Times New Roman" w:cs="Times New Roman"/>
        </w:rPr>
        <w:t>Vizzy</w:t>
      </w:r>
      <w:proofErr w:type="spellEnd"/>
      <w:r w:rsidRPr="0084485B">
        <w:rPr>
          <w:rFonts w:ascii="Times New Roman" w:hAnsi="Times New Roman" w:cs="Times New Roman"/>
        </w:rPr>
        <w:t xml:space="preserve"> Hard Seltzer, Simply Spiked Lemonade, Peroni Nastro Azzurro, Madri </w:t>
      </w:r>
      <w:proofErr w:type="spellStart"/>
      <w:r w:rsidRPr="0084485B">
        <w:rPr>
          <w:rFonts w:ascii="Times New Roman" w:hAnsi="Times New Roman" w:cs="Times New Roman"/>
        </w:rPr>
        <w:t>Excepcional</w:t>
      </w:r>
      <w:proofErr w:type="spellEnd"/>
      <w:r w:rsidRPr="0084485B">
        <w:rPr>
          <w:rFonts w:ascii="Times New Roman" w:hAnsi="Times New Roman" w:cs="Times New Roman"/>
        </w:rPr>
        <w:t>, and Five Trail Blended American Whiskey.</w:t>
      </w:r>
    </w:p>
    <w:p w14:paraId="50B7BF19" w14:textId="19CCC30A" w:rsidR="6D4947D0" w:rsidRPr="0084485B" w:rsidRDefault="6D4947D0" w:rsidP="006A14F8">
      <w:pPr>
        <w:spacing w:after="0"/>
        <w:rPr>
          <w:rFonts w:ascii="Times New Roman" w:hAnsi="Times New Roman" w:cs="Times New Roman"/>
        </w:rPr>
      </w:pPr>
      <w:r w:rsidRPr="0084485B">
        <w:rPr>
          <w:rFonts w:ascii="Times New Roman" w:hAnsi="Times New Roman" w:cs="Times New Roman"/>
        </w:rPr>
        <w:t>New growth categories:</w:t>
      </w:r>
    </w:p>
    <w:p w14:paraId="7A0DB0F4" w14:textId="180878B4" w:rsidR="6D4947D0" w:rsidRPr="0084485B" w:rsidRDefault="6D4947D0" w:rsidP="54BFFA7B">
      <w:pPr>
        <w:pStyle w:val="ListParagraph"/>
        <w:numPr>
          <w:ilvl w:val="0"/>
          <w:numId w:val="2"/>
        </w:numPr>
        <w:rPr>
          <w:rFonts w:ascii="Times New Roman" w:hAnsi="Times New Roman" w:cs="Times New Roman"/>
        </w:rPr>
      </w:pPr>
      <w:r w:rsidRPr="0084485B">
        <w:rPr>
          <w:rFonts w:ascii="Times New Roman" w:hAnsi="Times New Roman" w:cs="Times New Roman"/>
        </w:rPr>
        <w:t>In 2024, Molson Coors acquired a majority stake in ZOA Energy, entering the functional energy-drink market</w:t>
      </w:r>
      <w:r w:rsidR="00050355" w:rsidRPr="0084485B">
        <w:rPr>
          <w:rFonts w:ascii="Times New Roman" w:hAnsi="Times New Roman" w:cs="Times New Roman"/>
        </w:rPr>
        <w:t xml:space="preserve"> (Reuters, 2025).</w:t>
      </w:r>
    </w:p>
    <w:p w14:paraId="7253B24E" w14:textId="28583916" w:rsidR="6D4947D0" w:rsidRPr="0084485B" w:rsidRDefault="6D4947D0" w:rsidP="54BFFA7B">
      <w:pPr>
        <w:pStyle w:val="ListParagraph"/>
        <w:numPr>
          <w:ilvl w:val="0"/>
          <w:numId w:val="2"/>
        </w:numPr>
        <w:rPr>
          <w:rFonts w:ascii="Times New Roman" w:hAnsi="Times New Roman" w:cs="Times New Roman"/>
        </w:rPr>
      </w:pPr>
      <w:r w:rsidRPr="0084485B">
        <w:rPr>
          <w:rFonts w:ascii="Times New Roman" w:hAnsi="Times New Roman" w:cs="Times New Roman"/>
        </w:rPr>
        <w:t xml:space="preserve">In 2025, the company purchased an 8.5 percent stake in </w:t>
      </w:r>
      <w:proofErr w:type="spellStart"/>
      <w:r w:rsidRPr="0084485B">
        <w:rPr>
          <w:rFonts w:ascii="Times New Roman" w:hAnsi="Times New Roman" w:cs="Times New Roman"/>
        </w:rPr>
        <w:t>Fevertree</w:t>
      </w:r>
      <w:proofErr w:type="spellEnd"/>
      <w:r w:rsidRPr="0084485B">
        <w:rPr>
          <w:rFonts w:ascii="Times New Roman" w:hAnsi="Times New Roman" w:cs="Times New Roman"/>
        </w:rPr>
        <w:t xml:space="preserve"> Drinks PLC, securing U.S. distribution rights for premium mixers</w:t>
      </w:r>
      <w:r w:rsidR="00945495" w:rsidRPr="0084485B">
        <w:rPr>
          <w:rFonts w:ascii="Times New Roman" w:hAnsi="Times New Roman" w:cs="Times New Roman"/>
        </w:rPr>
        <w:t>, sodas,</w:t>
      </w:r>
      <w:r w:rsidRPr="0084485B">
        <w:rPr>
          <w:rFonts w:ascii="Times New Roman" w:hAnsi="Times New Roman" w:cs="Times New Roman"/>
        </w:rPr>
        <w:t xml:space="preserve"> and tonics (Reuters, 2025).</w:t>
      </w:r>
    </w:p>
    <w:p w14:paraId="3F119138" w14:textId="77777777" w:rsidR="00657764" w:rsidRPr="0084485B" w:rsidRDefault="00F57DEB" w:rsidP="001A35E7">
      <w:pPr>
        <w:pStyle w:val="Heading2"/>
        <w:rPr>
          <w:rFonts w:ascii="Times New Roman" w:hAnsi="Times New Roman" w:cs="Times New Roman"/>
        </w:rPr>
      </w:pPr>
      <w:r w:rsidRPr="0084485B">
        <w:rPr>
          <w:rFonts w:ascii="Times New Roman" w:hAnsi="Times New Roman" w:cs="Times New Roman"/>
        </w:rPr>
        <w:t>Customers and Suppliers</w:t>
      </w:r>
    </w:p>
    <w:p w14:paraId="5D7A3E39" w14:textId="0F773B50" w:rsidR="00C57F81" w:rsidRPr="0084485B" w:rsidRDefault="00B107EF" w:rsidP="00B107EF">
      <w:pPr>
        <w:pStyle w:val="Heading4"/>
        <w:rPr>
          <w:rFonts w:ascii="Times New Roman" w:hAnsi="Times New Roman" w:cs="Times New Roman"/>
        </w:rPr>
      </w:pPr>
      <w:r w:rsidRPr="0084485B">
        <w:rPr>
          <w:rFonts w:ascii="Times New Roman" w:hAnsi="Times New Roman" w:cs="Times New Roman"/>
        </w:rPr>
        <w:lastRenderedPageBreak/>
        <w:t>Distribution</w:t>
      </w:r>
    </w:p>
    <w:p w14:paraId="35054C5C" w14:textId="5F6FA86A" w:rsidR="54BFFA7B" w:rsidRPr="0084485B" w:rsidRDefault="003710D2" w:rsidP="005E5C93">
      <w:pPr>
        <w:rPr>
          <w:rFonts w:ascii="Times New Roman" w:hAnsi="Times New Roman" w:cs="Times New Roman"/>
        </w:rPr>
      </w:pPr>
      <w:r w:rsidRPr="0084485B">
        <w:rPr>
          <w:rFonts w:ascii="Times New Roman" w:hAnsi="Times New Roman" w:cs="Times New Roman"/>
        </w:rPr>
        <w:t>TAP</w:t>
      </w:r>
      <w:r w:rsidR="2785CAF6" w:rsidRPr="0084485B">
        <w:rPr>
          <w:rFonts w:ascii="Times New Roman" w:hAnsi="Times New Roman" w:cs="Times New Roman"/>
        </w:rPr>
        <w:t xml:space="preserve"> serves millions of consumers worldwide through wholesalers, retailers, restaurants, and bars. Its products reach consumers via a three-tier distribution system common in alcoholic beverage markets.</w:t>
      </w:r>
      <w:r w:rsidR="001569DD" w:rsidRPr="0084485B">
        <w:rPr>
          <w:rFonts w:ascii="Times New Roman" w:hAnsi="Times New Roman" w:cs="Times New Roman"/>
        </w:rPr>
        <w:t xml:space="preserve"> </w:t>
      </w:r>
      <w:r w:rsidR="00423086" w:rsidRPr="0084485B">
        <w:rPr>
          <w:rFonts w:ascii="Times New Roman" w:hAnsi="Times New Roman" w:cs="Times New Roman"/>
        </w:rPr>
        <w:t xml:space="preserve">Molson Coors sells (or licenses) its brands to an independent distributor network. According to </w:t>
      </w:r>
      <w:proofErr w:type="spellStart"/>
      <w:r w:rsidR="00423086" w:rsidRPr="0084485B">
        <w:rPr>
          <w:rFonts w:ascii="Times New Roman" w:hAnsi="Times New Roman" w:cs="Times New Roman"/>
        </w:rPr>
        <w:t>CSIMarket</w:t>
      </w:r>
      <w:proofErr w:type="spellEnd"/>
      <w:r w:rsidR="00423086" w:rsidRPr="0084485B">
        <w:rPr>
          <w:rFonts w:ascii="Times New Roman" w:hAnsi="Times New Roman" w:cs="Times New Roman"/>
        </w:rPr>
        <w:t xml:space="preserve">, approximately 450 independent distributors purchase Molson Coors products for distribution to retailers. </w:t>
      </w:r>
      <w:r w:rsidR="00F63C90" w:rsidRPr="0084485B">
        <w:rPr>
          <w:rFonts w:ascii="Times New Roman" w:hAnsi="Times New Roman" w:cs="Times New Roman"/>
        </w:rPr>
        <w:t xml:space="preserve">Once product leaves a distributor, the downstream customers include large retail chains (grocery, convenience, big box), liquor stores/beverage retailers, </w:t>
      </w:r>
      <w:r w:rsidR="00B757CE" w:rsidRPr="0084485B">
        <w:rPr>
          <w:rFonts w:ascii="Times New Roman" w:hAnsi="Times New Roman" w:cs="Times New Roman"/>
        </w:rPr>
        <w:t xml:space="preserve">and </w:t>
      </w:r>
      <w:r w:rsidR="00F63C90" w:rsidRPr="0084485B">
        <w:rPr>
          <w:rFonts w:ascii="Times New Roman" w:hAnsi="Times New Roman" w:cs="Times New Roman"/>
        </w:rPr>
        <w:t>bars</w:t>
      </w:r>
      <w:r w:rsidR="003734F1" w:rsidRPr="0084485B">
        <w:rPr>
          <w:rFonts w:ascii="Times New Roman" w:hAnsi="Times New Roman" w:cs="Times New Roman"/>
        </w:rPr>
        <w:t>/</w:t>
      </w:r>
      <w:r w:rsidR="00F63C90" w:rsidRPr="0084485B">
        <w:rPr>
          <w:rFonts w:ascii="Times New Roman" w:hAnsi="Times New Roman" w:cs="Times New Roman"/>
        </w:rPr>
        <w:t>restaurants</w:t>
      </w:r>
      <w:r w:rsidR="003734F1" w:rsidRPr="0084485B">
        <w:rPr>
          <w:rFonts w:ascii="Times New Roman" w:hAnsi="Times New Roman" w:cs="Times New Roman"/>
        </w:rPr>
        <w:t>/</w:t>
      </w:r>
      <w:r w:rsidR="00F63C90" w:rsidRPr="0084485B">
        <w:rPr>
          <w:rFonts w:ascii="Times New Roman" w:hAnsi="Times New Roman" w:cs="Times New Roman"/>
        </w:rPr>
        <w:t>pubs</w:t>
      </w:r>
      <w:r w:rsidR="008D1807" w:rsidRPr="0084485B">
        <w:rPr>
          <w:rFonts w:ascii="Times New Roman" w:hAnsi="Times New Roman" w:cs="Times New Roman"/>
        </w:rPr>
        <w:t xml:space="preserve">. </w:t>
      </w:r>
      <w:r w:rsidR="00052D90" w:rsidRPr="0084485B">
        <w:rPr>
          <w:rFonts w:ascii="Times New Roman" w:hAnsi="Times New Roman" w:cs="Times New Roman"/>
        </w:rPr>
        <w:t xml:space="preserve">With its stake in </w:t>
      </w:r>
      <w:r w:rsidR="002A2602" w:rsidRPr="0084485B">
        <w:rPr>
          <w:rFonts w:ascii="Times New Roman" w:hAnsi="Times New Roman" w:cs="Times New Roman"/>
        </w:rPr>
        <w:t xml:space="preserve">British-run </w:t>
      </w:r>
      <w:proofErr w:type="spellStart"/>
      <w:r w:rsidR="00052D90" w:rsidRPr="0084485B">
        <w:rPr>
          <w:rFonts w:ascii="Times New Roman" w:hAnsi="Times New Roman" w:cs="Times New Roman"/>
        </w:rPr>
        <w:t>Fevertree</w:t>
      </w:r>
      <w:proofErr w:type="spellEnd"/>
      <w:r w:rsidR="00052D90" w:rsidRPr="0084485B">
        <w:rPr>
          <w:rFonts w:ascii="Times New Roman" w:hAnsi="Times New Roman" w:cs="Times New Roman"/>
        </w:rPr>
        <w:t>, Molson Coors will now also be the U.S. distributor</w:t>
      </w:r>
      <w:r w:rsidR="00A001FF" w:rsidRPr="0084485B">
        <w:rPr>
          <w:rFonts w:ascii="Times New Roman" w:hAnsi="Times New Roman" w:cs="Times New Roman"/>
        </w:rPr>
        <w:t>/</w:t>
      </w:r>
      <w:r w:rsidR="00052D90" w:rsidRPr="0084485B">
        <w:rPr>
          <w:rFonts w:ascii="Times New Roman" w:hAnsi="Times New Roman" w:cs="Times New Roman"/>
        </w:rPr>
        <w:t xml:space="preserve">marketer of </w:t>
      </w:r>
      <w:proofErr w:type="spellStart"/>
      <w:r w:rsidR="00052D90" w:rsidRPr="0084485B">
        <w:rPr>
          <w:rFonts w:ascii="Times New Roman" w:hAnsi="Times New Roman" w:cs="Times New Roman"/>
        </w:rPr>
        <w:t>Fevertree’s</w:t>
      </w:r>
      <w:proofErr w:type="spellEnd"/>
      <w:r w:rsidR="00052D90" w:rsidRPr="0084485B">
        <w:rPr>
          <w:rFonts w:ascii="Times New Roman" w:hAnsi="Times New Roman" w:cs="Times New Roman"/>
        </w:rPr>
        <w:t xml:space="preserve"> mixers</w:t>
      </w:r>
      <w:r w:rsidR="00945495" w:rsidRPr="0084485B">
        <w:rPr>
          <w:rFonts w:ascii="Times New Roman" w:hAnsi="Times New Roman" w:cs="Times New Roman"/>
        </w:rPr>
        <w:t>, sodas,</w:t>
      </w:r>
      <w:r w:rsidR="00052D90" w:rsidRPr="0084485B">
        <w:rPr>
          <w:rFonts w:ascii="Times New Roman" w:hAnsi="Times New Roman" w:cs="Times New Roman"/>
        </w:rPr>
        <w:t xml:space="preserve"> and tonics (i.e. Molson Coors becomes a direct customer of its own distribution network for that product).</w:t>
      </w:r>
    </w:p>
    <w:p w14:paraId="0B3C7A3F" w14:textId="493A9561" w:rsidR="54BFFA7B" w:rsidRPr="0084485B" w:rsidRDefault="00E55C42" w:rsidP="00E55C42">
      <w:pPr>
        <w:pStyle w:val="Heading4"/>
        <w:rPr>
          <w:rFonts w:ascii="Times New Roman" w:hAnsi="Times New Roman" w:cs="Times New Roman"/>
        </w:rPr>
      </w:pPr>
      <w:r w:rsidRPr="0084485B">
        <w:rPr>
          <w:rFonts w:ascii="Times New Roman" w:hAnsi="Times New Roman" w:cs="Times New Roman"/>
        </w:rPr>
        <w:t>Suppliers</w:t>
      </w:r>
    </w:p>
    <w:p w14:paraId="167F632A" w14:textId="023065F3" w:rsidR="00807188" w:rsidRPr="0084485B" w:rsidRDefault="00387C9E">
      <w:pPr>
        <w:rPr>
          <w:rFonts w:ascii="Times New Roman" w:hAnsi="Times New Roman" w:cs="Times New Roman"/>
        </w:rPr>
      </w:pPr>
      <w:r w:rsidRPr="0084485B">
        <w:rPr>
          <w:rFonts w:ascii="Times New Roman" w:hAnsi="Times New Roman" w:cs="Times New Roman"/>
        </w:rPr>
        <w:t xml:space="preserve">Grain, </w:t>
      </w:r>
      <w:r w:rsidR="00A76DBB" w:rsidRPr="0084485B">
        <w:rPr>
          <w:rFonts w:ascii="Times New Roman" w:hAnsi="Times New Roman" w:cs="Times New Roman"/>
        </w:rPr>
        <w:t>malt, yeast, water</w:t>
      </w:r>
      <w:r w:rsidR="00771538" w:rsidRPr="0084485B">
        <w:rPr>
          <w:rFonts w:ascii="Times New Roman" w:hAnsi="Times New Roman" w:cs="Times New Roman"/>
        </w:rPr>
        <w:t>, hops, and bar</w:t>
      </w:r>
      <w:r w:rsidR="00810867" w:rsidRPr="0084485B">
        <w:rPr>
          <w:rFonts w:ascii="Times New Roman" w:hAnsi="Times New Roman" w:cs="Times New Roman"/>
        </w:rPr>
        <w:t xml:space="preserve">ley are </w:t>
      </w:r>
      <w:r w:rsidR="00E3467B" w:rsidRPr="0084485B">
        <w:rPr>
          <w:rFonts w:ascii="Times New Roman" w:hAnsi="Times New Roman" w:cs="Times New Roman"/>
        </w:rPr>
        <w:t xml:space="preserve">fundamental </w:t>
      </w:r>
      <w:r w:rsidR="00984A5D" w:rsidRPr="0084485B">
        <w:rPr>
          <w:rFonts w:ascii="Times New Roman" w:hAnsi="Times New Roman" w:cs="Times New Roman"/>
        </w:rPr>
        <w:t>ingred</w:t>
      </w:r>
      <w:r w:rsidR="008A4B10" w:rsidRPr="0084485B">
        <w:rPr>
          <w:rFonts w:ascii="Times New Roman" w:hAnsi="Times New Roman" w:cs="Times New Roman"/>
        </w:rPr>
        <w:t xml:space="preserve">ients in </w:t>
      </w:r>
      <w:r w:rsidR="005F163E" w:rsidRPr="0084485B">
        <w:rPr>
          <w:rFonts w:ascii="Times New Roman" w:hAnsi="Times New Roman" w:cs="Times New Roman"/>
        </w:rPr>
        <w:t xml:space="preserve">beer </w:t>
      </w:r>
      <w:r w:rsidR="00823F27" w:rsidRPr="0084485B">
        <w:rPr>
          <w:rFonts w:ascii="Times New Roman" w:hAnsi="Times New Roman" w:cs="Times New Roman"/>
        </w:rPr>
        <w:t xml:space="preserve">production. </w:t>
      </w:r>
      <w:r w:rsidR="00286448" w:rsidRPr="0084485B">
        <w:rPr>
          <w:rFonts w:ascii="Times New Roman" w:hAnsi="Times New Roman" w:cs="Times New Roman"/>
        </w:rPr>
        <w:t xml:space="preserve">These are typically sourced from agricultural suppliers globally (often via commodity markets), but Molson Coors’ public materials do not disclose specific farming partners. For aluminum canning, </w:t>
      </w:r>
      <w:r w:rsidR="001728FA" w:rsidRPr="0084485B">
        <w:rPr>
          <w:rFonts w:ascii="Times New Roman" w:hAnsi="Times New Roman" w:cs="Times New Roman"/>
        </w:rPr>
        <w:t xml:space="preserve">Ball Corporation is </w:t>
      </w:r>
      <w:r w:rsidR="000D425C" w:rsidRPr="0084485B">
        <w:rPr>
          <w:rFonts w:ascii="Times New Roman" w:hAnsi="Times New Roman" w:cs="Times New Roman"/>
        </w:rPr>
        <w:t>the</w:t>
      </w:r>
      <w:r w:rsidR="001728FA" w:rsidRPr="0084485B">
        <w:rPr>
          <w:rFonts w:ascii="Times New Roman" w:hAnsi="Times New Roman" w:cs="Times New Roman"/>
        </w:rPr>
        <w:t xml:space="preserve"> </w:t>
      </w:r>
      <w:r w:rsidR="00D91EB3" w:rsidRPr="0084485B">
        <w:rPr>
          <w:rFonts w:ascii="Times New Roman" w:hAnsi="Times New Roman" w:cs="Times New Roman"/>
        </w:rPr>
        <w:t xml:space="preserve">leading </w:t>
      </w:r>
      <w:r w:rsidR="001728FA" w:rsidRPr="0084485B">
        <w:rPr>
          <w:rFonts w:ascii="Times New Roman" w:hAnsi="Times New Roman" w:cs="Times New Roman"/>
        </w:rPr>
        <w:t xml:space="preserve">manufacturer and supplier to Molson Coors. Ball has had to allocate </w:t>
      </w:r>
      <w:r w:rsidR="00270C94" w:rsidRPr="0084485B">
        <w:rPr>
          <w:rFonts w:ascii="Times New Roman" w:hAnsi="Times New Roman" w:cs="Times New Roman"/>
        </w:rPr>
        <w:t>a specific</w:t>
      </w:r>
      <w:r w:rsidR="001728FA" w:rsidRPr="0084485B">
        <w:rPr>
          <w:rFonts w:ascii="Times New Roman" w:hAnsi="Times New Roman" w:cs="Times New Roman"/>
        </w:rPr>
        <w:t xml:space="preserve"> </w:t>
      </w:r>
      <w:r w:rsidR="00717DD5" w:rsidRPr="0084485B">
        <w:rPr>
          <w:rFonts w:ascii="Times New Roman" w:hAnsi="Times New Roman" w:cs="Times New Roman"/>
        </w:rPr>
        <w:t xml:space="preserve">aluminum supply for </w:t>
      </w:r>
      <w:r w:rsidR="001728FA" w:rsidRPr="0084485B">
        <w:rPr>
          <w:rFonts w:ascii="Times New Roman" w:hAnsi="Times New Roman" w:cs="Times New Roman"/>
        </w:rPr>
        <w:t>can</w:t>
      </w:r>
      <w:r w:rsidR="00717DD5" w:rsidRPr="0084485B">
        <w:rPr>
          <w:rFonts w:ascii="Times New Roman" w:hAnsi="Times New Roman" w:cs="Times New Roman"/>
        </w:rPr>
        <w:t>s</w:t>
      </w:r>
      <w:r w:rsidR="001728FA" w:rsidRPr="0084485B">
        <w:rPr>
          <w:rFonts w:ascii="Times New Roman" w:hAnsi="Times New Roman" w:cs="Times New Roman"/>
        </w:rPr>
        <w:t xml:space="preserve"> due to high demand</w:t>
      </w:r>
      <w:r w:rsidR="00A40AC1" w:rsidRPr="0084485B">
        <w:rPr>
          <w:rFonts w:ascii="Times New Roman" w:hAnsi="Times New Roman" w:cs="Times New Roman"/>
        </w:rPr>
        <w:t>,</w:t>
      </w:r>
      <w:r w:rsidR="001728FA" w:rsidRPr="0084485B">
        <w:rPr>
          <w:rFonts w:ascii="Times New Roman" w:hAnsi="Times New Roman" w:cs="Times New Roman"/>
        </w:rPr>
        <w:t xml:space="preserve"> and</w:t>
      </w:r>
      <w:r w:rsidR="00A40AC1" w:rsidRPr="0084485B">
        <w:rPr>
          <w:rFonts w:ascii="Times New Roman" w:hAnsi="Times New Roman" w:cs="Times New Roman"/>
        </w:rPr>
        <w:t>, as a result,</w:t>
      </w:r>
      <w:r w:rsidR="001728FA" w:rsidRPr="0084485B">
        <w:rPr>
          <w:rFonts w:ascii="Times New Roman" w:hAnsi="Times New Roman" w:cs="Times New Roman"/>
        </w:rPr>
        <w:t xml:space="preserve"> </w:t>
      </w:r>
      <w:r w:rsidR="00A40AC1" w:rsidRPr="0084485B">
        <w:rPr>
          <w:rFonts w:ascii="Times New Roman" w:hAnsi="Times New Roman" w:cs="Times New Roman"/>
        </w:rPr>
        <w:t>they are</w:t>
      </w:r>
      <w:r w:rsidR="001728FA" w:rsidRPr="0084485B">
        <w:rPr>
          <w:rFonts w:ascii="Times New Roman" w:hAnsi="Times New Roman" w:cs="Times New Roman"/>
        </w:rPr>
        <w:t xml:space="preserve"> </w:t>
      </w:r>
      <w:r w:rsidR="00A40AC1" w:rsidRPr="0084485B">
        <w:rPr>
          <w:rFonts w:ascii="Times New Roman" w:hAnsi="Times New Roman" w:cs="Times New Roman"/>
        </w:rPr>
        <w:t>now</w:t>
      </w:r>
      <w:r w:rsidR="001728FA" w:rsidRPr="0084485B">
        <w:rPr>
          <w:rFonts w:ascii="Times New Roman" w:hAnsi="Times New Roman" w:cs="Times New Roman"/>
        </w:rPr>
        <w:t xml:space="preserve"> importing from overseas </w:t>
      </w:r>
      <w:r w:rsidR="00A40AC1" w:rsidRPr="0084485B">
        <w:rPr>
          <w:rFonts w:ascii="Times New Roman" w:hAnsi="Times New Roman" w:cs="Times New Roman"/>
        </w:rPr>
        <w:t xml:space="preserve">markets </w:t>
      </w:r>
      <w:r w:rsidR="001728FA" w:rsidRPr="0084485B">
        <w:rPr>
          <w:rFonts w:ascii="Times New Roman" w:hAnsi="Times New Roman" w:cs="Times New Roman"/>
        </w:rPr>
        <w:t>to meet needs</w:t>
      </w:r>
      <w:r w:rsidR="004A673D" w:rsidRPr="0084485B">
        <w:rPr>
          <w:rFonts w:ascii="Times New Roman" w:hAnsi="Times New Roman" w:cs="Times New Roman"/>
        </w:rPr>
        <w:t xml:space="preserve">.  Molson Coors also operates a joint venture with Ball </w:t>
      </w:r>
      <w:r w:rsidR="00823805" w:rsidRPr="0084485B">
        <w:rPr>
          <w:rFonts w:ascii="Times New Roman" w:hAnsi="Times New Roman" w:cs="Times New Roman"/>
        </w:rPr>
        <w:t xml:space="preserve">Corp. </w:t>
      </w:r>
      <w:r w:rsidR="004A673D" w:rsidRPr="0084485B">
        <w:rPr>
          <w:rFonts w:ascii="Times New Roman" w:hAnsi="Times New Roman" w:cs="Times New Roman"/>
        </w:rPr>
        <w:t xml:space="preserve">at Rocky Mountain Metal Container (RMMC), which produces cans.  </w:t>
      </w:r>
      <w:r w:rsidR="00C2171E" w:rsidRPr="0084485B">
        <w:rPr>
          <w:rFonts w:ascii="Times New Roman" w:hAnsi="Times New Roman" w:cs="Times New Roman"/>
        </w:rPr>
        <w:t xml:space="preserve">Graphic Packaging International </w:t>
      </w:r>
      <w:r w:rsidR="00EF317F" w:rsidRPr="0084485B">
        <w:rPr>
          <w:rFonts w:ascii="Times New Roman" w:hAnsi="Times New Roman" w:cs="Times New Roman"/>
        </w:rPr>
        <w:t xml:space="preserve">is </w:t>
      </w:r>
      <w:r w:rsidR="00E14285" w:rsidRPr="0084485B">
        <w:rPr>
          <w:rFonts w:ascii="Times New Roman" w:hAnsi="Times New Roman" w:cs="Times New Roman"/>
        </w:rPr>
        <w:t>another major</w:t>
      </w:r>
      <w:r w:rsidR="00EF317F" w:rsidRPr="0084485B">
        <w:rPr>
          <w:rFonts w:ascii="Times New Roman" w:hAnsi="Times New Roman" w:cs="Times New Roman"/>
        </w:rPr>
        <w:t xml:space="preserve"> partner </w:t>
      </w:r>
      <w:r w:rsidR="0012777A" w:rsidRPr="0084485B">
        <w:rPr>
          <w:rFonts w:ascii="Times New Roman" w:hAnsi="Times New Roman" w:cs="Times New Roman"/>
        </w:rPr>
        <w:t>for</w:t>
      </w:r>
      <w:r w:rsidR="00EF317F" w:rsidRPr="0084485B">
        <w:rPr>
          <w:rFonts w:ascii="Times New Roman" w:hAnsi="Times New Roman" w:cs="Times New Roman"/>
        </w:rPr>
        <w:t xml:space="preserve"> </w:t>
      </w:r>
      <w:r w:rsidR="00476CFE" w:rsidRPr="0084485B">
        <w:rPr>
          <w:rFonts w:ascii="Times New Roman" w:hAnsi="Times New Roman" w:cs="Times New Roman"/>
        </w:rPr>
        <w:t xml:space="preserve">the actual </w:t>
      </w:r>
      <w:r w:rsidR="00EF317F" w:rsidRPr="0084485B">
        <w:rPr>
          <w:rFonts w:ascii="Times New Roman" w:hAnsi="Times New Roman" w:cs="Times New Roman"/>
        </w:rPr>
        <w:t xml:space="preserve">packaging </w:t>
      </w:r>
      <w:r w:rsidR="00476CFE" w:rsidRPr="0084485B">
        <w:rPr>
          <w:rFonts w:ascii="Times New Roman" w:hAnsi="Times New Roman" w:cs="Times New Roman"/>
        </w:rPr>
        <w:t>of</w:t>
      </w:r>
      <w:r w:rsidR="00EF317F" w:rsidRPr="0084485B">
        <w:rPr>
          <w:rFonts w:ascii="Times New Roman" w:hAnsi="Times New Roman" w:cs="Times New Roman"/>
        </w:rPr>
        <w:t xml:space="preserve"> cans</w:t>
      </w:r>
      <w:r w:rsidR="0040290F" w:rsidRPr="0084485B">
        <w:rPr>
          <w:rFonts w:ascii="Times New Roman" w:hAnsi="Times New Roman" w:cs="Times New Roman"/>
        </w:rPr>
        <w:t xml:space="preserve"> and </w:t>
      </w:r>
      <w:r w:rsidR="00EF317F" w:rsidRPr="0084485B">
        <w:rPr>
          <w:rFonts w:ascii="Times New Roman" w:hAnsi="Times New Roman" w:cs="Times New Roman"/>
        </w:rPr>
        <w:t>bottles</w:t>
      </w:r>
      <w:r w:rsidR="0012777A" w:rsidRPr="0084485B">
        <w:rPr>
          <w:rFonts w:ascii="Times New Roman" w:hAnsi="Times New Roman" w:cs="Times New Roman"/>
        </w:rPr>
        <w:t xml:space="preserve"> </w:t>
      </w:r>
      <w:r w:rsidR="00476CFE" w:rsidRPr="0084485B">
        <w:rPr>
          <w:rFonts w:ascii="Times New Roman" w:hAnsi="Times New Roman" w:cs="Times New Roman"/>
        </w:rPr>
        <w:t>which</w:t>
      </w:r>
      <w:r w:rsidR="0012777A" w:rsidRPr="0084485B">
        <w:rPr>
          <w:rFonts w:ascii="Times New Roman" w:hAnsi="Times New Roman" w:cs="Times New Roman"/>
        </w:rPr>
        <w:t xml:space="preserve"> consumers </w:t>
      </w:r>
      <w:r w:rsidR="00476CFE" w:rsidRPr="0084485B">
        <w:rPr>
          <w:rFonts w:ascii="Times New Roman" w:hAnsi="Times New Roman" w:cs="Times New Roman"/>
        </w:rPr>
        <w:t xml:space="preserve">then </w:t>
      </w:r>
      <w:r w:rsidR="0012777A" w:rsidRPr="0084485B">
        <w:rPr>
          <w:rFonts w:ascii="Times New Roman" w:hAnsi="Times New Roman" w:cs="Times New Roman"/>
        </w:rPr>
        <w:t xml:space="preserve">see on </w:t>
      </w:r>
      <w:r w:rsidR="00476CFE" w:rsidRPr="0084485B">
        <w:rPr>
          <w:rFonts w:ascii="Times New Roman" w:hAnsi="Times New Roman" w:cs="Times New Roman"/>
        </w:rPr>
        <w:t>shelfs</w:t>
      </w:r>
      <w:r w:rsidR="00C2171E" w:rsidRPr="0084485B">
        <w:rPr>
          <w:rFonts w:ascii="Times New Roman" w:hAnsi="Times New Roman" w:cs="Times New Roman"/>
        </w:rPr>
        <w:t xml:space="preserve">.  </w:t>
      </w:r>
      <w:r w:rsidR="00604128" w:rsidRPr="0084485B">
        <w:rPr>
          <w:rFonts w:ascii="Times New Roman" w:hAnsi="Times New Roman" w:cs="Times New Roman"/>
        </w:rPr>
        <w:t>Lastly,</w:t>
      </w:r>
      <w:r w:rsidR="00C2171E" w:rsidRPr="0084485B">
        <w:rPr>
          <w:rFonts w:ascii="Times New Roman" w:hAnsi="Times New Roman" w:cs="Times New Roman"/>
        </w:rPr>
        <w:t xml:space="preserve"> </w:t>
      </w:r>
      <w:r w:rsidR="00C848D7" w:rsidRPr="0084485B">
        <w:rPr>
          <w:rFonts w:ascii="Times New Roman" w:hAnsi="Times New Roman" w:cs="Times New Roman"/>
        </w:rPr>
        <w:t>Molson Coors relies on third-party transportation firms, warehousing, and cold chain/refrigeration services to move finished product from breweries to distribution centers and then to retailers.</w:t>
      </w:r>
    </w:p>
    <w:p w14:paraId="122CED6F" w14:textId="35444106" w:rsidR="00F57DEB" w:rsidRPr="0084485B" w:rsidRDefault="00F57DEB" w:rsidP="002C5487">
      <w:pPr>
        <w:pStyle w:val="Heading2"/>
        <w:rPr>
          <w:rFonts w:ascii="Times New Roman" w:hAnsi="Times New Roman" w:cs="Times New Roman"/>
        </w:rPr>
      </w:pPr>
      <w:r w:rsidRPr="0084485B">
        <w:rPr>
          <w:rFonts w:ascii="Times New Roman" w:hAnsi="Times New Roman" w:cs="Times New Roman"/>
        </w:rPr>
        <w:t>Competitors</w:t>
      </w:r>
    </w:p>
    <w:p w14:paraId="4FE16791" w14:textId="1B6449FB" w:rsidR="008E27AD" w:rsidRPr="0084485B" w:rsidRDefault="00145C36" w:rsidP="00030327">
      <w:pPr>
        <w:rPr>
          <w:rFonts w:ascii="Times New Roman" w:hAnsi="Times New Roman" w:cs="Times New Roman"/>
        </w:rPr>
      </w:pPr>
      <w:r w:rsidRPr="0084485B">
        <w:rPr>
          <w:rFonts w:ascii="Times New Roman" w:hAnsi="Times New Roman" w:cs="Times New Roman"/>
        </w:rPr>
        <w:t>Competition in this market is fierce</w:t>
      </w:r>
      <w:r w:rsidR="49C0C83D" w:rsidRPr="0084485B">
        <w:rPr>
          <w:rFonts w:ascii="Times New Roman" w:hAnsi="Times New Roman" w:cs="Times New Roman"/>
        </w:rPr>
        <w:t xml:space="preserve">. </w:t>
      </w:r>
      <w:r w:rsidR="003F2818" w:rsidRPr="0084485B">
        <w:rPr>
          <w:rFonts w:ascii="Times New Roman" w:hAnsi="Times New Roman" w:cs="Times New Roman"/>
        </w:rPr>
        <w:t>Big</w:t>
      </w:r>
      <w:r w:rsidR="00260036" w:rsidRPr="0084485B">
        <w:rPr>
          <w:rFonts w:ascii="Times New Roman" w:hAnsi="Times New Roman" w:cs="Times New Roman"/>
        </w:rPr>
        <w:t xml:space="preserve">-player companies such as </w:t>
      </w:r>
      <w:r w:rsidR="49C0C83D" w:rsidRPr="0084485B">
        <w:rPr>
          <w:rFonts w:ascii="Times New Roman" w:hAnsi="Times New Roman" w:cs="Times New Roman"/>
        </w:rPr>
        <w:t xml:space="preserve">Anheuser Busch </w:t>
      </w:r>
      <w:r w:rsidR="761B38C2" w:rsidRPr="0084485B">
        <w:rPr>
          <w:rFonts w:ascii="Times New Roman" w:hAnsi="Times New Roman" w:cs="Times New Roman"/>
        </w:rPr>
        <w:t>In</w:t>
      </w:r>
      <w:r w:rsidR="49C0C83D" w:rsidRPr="0084485B">
        <w:rPr>
          <w:rFonts w:ascii="Times New Roman" w:hAnsi="Times New Roman" w:cs="Times New Roman"/>
        </w:rPr>
        <w:t>Bev,</w:t>
      </w:r>
      <w:r w:rsidR="3902F58E" w:rsidRPr="0084485B">
        <w:rPr>
          <w:rFonts w:ascii="Times New Roman" w:hAnsi="Times New Roman" w:cs="Times New Roman"/>
        </w:rPr>
        <w:t xml:space="preserve"> </w:t>
      </w:r>
      <w:r w:rsidR="49C0C83D" w:rsidRPr="0084485B">
        <w:rPr>
          <w:rFonts w:ascii="Times New Roman" w:hAnsi="Times New Roman" w:cs="Times New Roman"/>
        </w:rPr>
        <w:t>Heineken</w:t>
      </w:r>
      <w:r w:rsidR="6639D40E" w:rsidRPr="0084485B">
        <w:rPr>
          <w:rFonts w:ascii="Times New Roman" w:hAnsi="Times New Roman" w:cs="Times New Roman"/>
        </w:rPr>
        <w:t>,</w:t>
      </w:r>
      <w:r w:rsidR="49C0C83D" w:rsidRPr="0084485B">
        <w:rPr>
          <w:rFonts w:ascii="Times New Roman" w:hAnsi="Times New Roman" w:cs="Times New Roman"/>
        </w:rPr>
        <w:t xml:space="preserve"> Constellation </w:t>
      </w:r>
      <w:r w:rsidR="00345D2F" w:rsidRPr="0084485B">
        <w:rPr>
          <w:rFonts w:ascii="Times New Roman" w:hAnsi="Times New Roman" w:cs="Times New Roman"/>
        </w:rPr>
        <w:t>Brands,</w:t>
      </w:r>
      <w:r w:rsidR="00E041E8" w:rsidRPr="0084485B">
        <w:rPr>
          <w:rFonts w:ascii="Times New Roman" w:hAnsi="Times New Roman" w:cs="Times New Roman"/>
        </w:rPr>
        <w:t xml:space="preserve"> and Molson Coors </w:t>
      </w:r>
      <w:r w:rsidR="49C0C83D" w:rsidRPr="0084485B">
        <w:rPr>
          <w:rFonts w:ascii="Times New Roman" w:hAnsi="Times New Roman" w:cs="Times New Roman"/>
        </w:rPr>
        <w:t>all fight for the same customer</w:t>
      </w:r>
      <w:r w:rsidR="00E041E8" w:rsidRPr="0084485B">
        <w:rPr>
          <w:rFonts w:ascii="Times New Roman" w:hAnsi="Times New Roman" w:cs="Times New Roman"/>
        </w:rPr>
        <w:t xml:space="preserve"> as </w:t>
      </w:r>
      <w:r w:rsidR="00867A63" w:rsidRPr="0084485B">
        <w:rPr>
          <w:rFonts w:ascii="Times New Roman" w:hAnsi="Times New Roman" w:cs="Times New Roman"/>
        </w:rPr>
        <w:t xml:space="preserve">each </w:t>
      </w:r>
      <w:r w:rsidR="005B4297" w:rsidRPr="0084485B">
        <w:rPr>
          <w:rFonts w:ascii="Times New Roman" w:hAnsi="Times New Roman" w:cs="Times New Roman"/>
        </w:rPr>
        <w:t xml:space="preserve">one of their </w:t>
      </w:r>
      <w:r w:rsidR="00345D2F" w:rsidRPr="0084485B">
        <w:rPr>
          <w:rFonts w:ascii="Times New Roman" w:hAnsi="Times New Roman" w:cs="Times New Roman"/>
        </w:rPr>
        <w:t>products</w:t>
      </w:r>
      <w:r w:rsidR="00867A63" w:rsidRPr="0084485B">
        <w:rPr>
          <w:rFonts w:ascii="Times New Roman" w:hAnsi="Times New Roman" w:cs="Times New Roman"/>
        </w:rPr>
        <w:t xml:space="preserve"> </w:t>
      </w:r>
      <w:r w:rsidR="00CD3E21" w:rsidRPr="0084485B">
        <w:rPr>
          <w:rFonts w:ascii="Times New Roman" w:hAnsi="Times New Roman" w:cs="Times New Roman"/>
        </w:rPr>
        <w:t xml:space="preserve">meets similar </w:t>
      </w:r>
      <w:r w:rsidR="005B4297" w:rsidRPr="0084485B">
        <w:rPr>
          <w:rFonts w:ascii="Times New Roman" w:hAnsi="Times New Roman" w:cs="Times New Roman"/>
        </w:rPr>
        <w:t xml:space="preserve">customer </w:t>
      </w:r>
      <w:r w:rsidR="00030327" w:rsidRPr="0084485B">
        <w:rPr>
          <w:rFonts w:ascii="Times New Roman" w:hAnsi="Times New Roman" w:cs="Times New Roman"/>
        </w:rPr>
        <w:t>desires</w:t>
      </w:r>
      <w:r w:rsidR="005B4297" w:rsidRPr="0084485B">
        <w:rPr>
          <w:rFonts w:ascii="Times New Roman" w:hAnsi="Times New Roman" w:cs="Times New Roman"/>
        </w:rPr>
        <w:t>.</w:t>
      </w:r>
      <w:r w:rsidR="00764E0C" w:rsidRPr="0084485B">
        <w:rPr>
          <w:rFonts w:ascii="Times New Roman" w:hAnsi="Times New Roman" w:cs="Times New Roman"/>
        </w:rPr>
        <w:t xml:space="preserve"> </w:t>
      </w:r>
      <w:r w:rsidR="001348C2" w:rsidRPr="0084485B">
        <w:rPr>
          <w:rFonts w:ascii="Times New Roman" w:hAnsi="Times New Roman" w:cs="Times New Roman"/>
        </w:rPr>
        <w:t xml:space="preserve">However, </w:t>
      </w:r>
      <w:r w:rsidR="008A5A22" w:rsidRPr="0084485B">
        <w:rPr>
          <w:rFonts w:ascii="Times New Roman" w:hAnsi="Times New Roman" w:cs="Times New Roman"/>
        </w:rPr>
        <w:t xml:space="preserve">this fact underlines the need for diversification and distinction </w:t>
      </w:r>
      <w:r w:rsidR="008A5A22" w:rsidRPr="0084485B">
        <w:rPr>
          <w:rFonts w:ascii="Times New Roman" w:hAnsi="Times New Roman" w:cs="Times New Roman"/>
        </w:rPr>
        <w:lastRenderedPageBreak/>
        <w:t xml:space="preserve">so </w:t>
      </w:r>
      <w:r w:rsidR="00F73D7A" w:rsidRPr="0084485B">
        <w:rPr>
          <w:rFonts w:ascii="Times New Roman" w:hAnsi="Times New Roman" w:cs="Times New Roman"/>
        </w:rPr>
        <w:t>a</w:t>
      </w:r>
      <w:r w:rsidR="008A5A22" w:rsidRPr="0084485B">
        <w:rPr>
          <w:rFonts w:ascii="Times New Roman" w:hAnsi="Times New Roman" w:cs="Times New Roman"/>
        </w:rPr>
        <w:t xml:space="preserve"> company can capture a controlling share of the market</w:t>
      </w:r>
      <w:r w:rsidR="00620694" w:rsidRPr="0084485B">
        <w:rPr>
          <w:rFonts w:ascii="Times New Roman" w:hAnsi="Times New Roman" w:cs="Times New Roman"/>
        </w:rPr>
        <w:t xml:space="preserve">. For </w:t>
      </w:r>
      <w:r w:rsidR="49C0C83D" w:rsidRPr="0084485B">
        <w:rPr>
          <w:rFonts w:ascii="Times New Roman" w:hAnsi="Times New Roman" w:cs="Times New Roman"/>
        </w:rPr>
        <w:t>AB</w:t>
      </w:r>
      <w:r w:rsidR="27D6B01F" w:rsidRPr="0084485B">
        <w:rPr>
          <w:rFonts w:ascii="Times New Roman" w:hAnsi="Times New Roman" w:cs="Times New Roman"/>
        </w:rPr>
        <w:t>I</w:t>
      </w:r>
      <w:r w:rsidR="00620694" w:rsidRPr="0084485B">
        <w:rPr>
          <w:rFonts w:ascii="Times New Roman" w:hAnsi="Times New Roman" w:cs="Times New Roman"/>
        </w:rPr>
        <w:t xml:space="preserve">, </w:t>
      </w:r>
      <w:r w:rsidR="008A2E7F" w:rsidRPr="0084485B">
        <w:rPr>
          <w:rFonts w:ascii="Times New Roman" w:hAnsi="Times New Roman" w:cs="Times New Roman"/>
        </w:rPr>
        <w:t>many of their offerings are considered premium</w:t>
      </w:r>
      <w:r w:rsidR="49C0C83D" w:rsidRPr="0084485B">
        <w:rPr>
          <w:rFonts w:ascii="Times New Roman" w:hAnsi="Times New Roman" w:cs="Times New Roman"/>
        </w:rPr>
        <w:t>. Heineken has made themselves</w:t>
      </w:r>
      <w:r w:rsidR="59B7CF95" w:rsidRPr="0084485B">
        <w:rPr>
          <w:rFonts w:ascii="Times New Roman" w:hAnsi="Times New Roman" w:cs="Times New Roman"/>
        </w:rPr>
        <w:t xml:space="preserve"> </w:t>
      </w:r>
      <w:r w:rsidR="49C0C83D" w:rsidRPr="0084485B">
        <w:rPr>
          <w:rFonts w:ascii="Times New Roman" w:hAnsi="Times New Roman" w:cs="Times New Roman"/>
        </w:rPr>
        <w:t xml:space="preserve">niche by </w:t>
      </w:r>
      <w:r w:rsidR="00393AF6" w:rsidRPr="0084485B">
        <w:rPr>
          <w:rFonts w:ascii="Times New Roman" w:hAnsi="Times New Roman" w:cs="Times New Roman"/>
        </w:rPr>
        <w:t xml:space="preserve">venturing into </w:t>
      </w:r>
      <w:r w:rsidR="00A51D4A" w:rsidRPr="0084485B">
        <w:rPr>
          <w:rFonts w:ascii="Times New Roman" w:hAnsi="Times New Roman" w:cs="Times New Roman"/>
        </w:rPr>
        <w:t>the near-beer and zero alcohol sections of the market</w:t>
      </w:r>
      <w:r w:rsidR="49C0C83D" w:rsidRPr="0084485B">
        <w:rPr>
          <w:rFonts w:ascii="Times New Roman" w:hAnsi="Times New Roman" w:cs="Times New Roman"/>
        </w:rPr>
        <w:t>. Constellation Brands</w:t>
      </w:r>
      <w:r w:rsidR="005575BC" w:rsidRPr="0084485B">
        <w:rPr>
          <w:rFonts w:ascii="Times New Roman" w:hAnsi="Times New Roman" w:cs="Times New Roman"/>
        </w:rPr>
        <w:t xml:space="preserve"> offers</w:t>
      </w:r>
      <w:r w:rsidR="4349D34A" w:rsidRPr="0084485B">
        <w:rPr>
          <w:rFonts w:ascii="Times New Roman" w:hAnsi="Times New Roman" w:cs="Times New Roman"/>
        </w:rPr>
        <w:t xml:space="preserve"> </w:t>
      </w:r>
      <w:r w:rsidR="00143DDA" w:rsidRPr="0084485B">
        <w:rPr>
          <w:rFonts w:ascii="Times New Roman" w:hAnsi="Times New Roman" w:cs="Times New Roman"/>
        </w:rPr>
        <w:t xml:space="preserve">the US market </w:t>
      </w:r>
      <w:r w:rsidR="4349D34A" w:rsidRPr="0084485B">
        <w:rPr>
          <w:rFonts w:ascii="Times New Roman" w:hAnsi="Times New Roman" w:cs="Times New Roman"/>
        </w:rPr>
        <w:t xml:space="preserve">imported beers </w:t>
      </w:r>
      <w:r w:rsidR="00143DDA" w:rsidRPr="0084485B">
        <w:rPr>
          <w:rFonts w:ascii="Times New Roman" w:hAnsi="Times New Roman" w:cs="Times New Roman"/>
        </w:rPr>
        <w:t>such as</w:t>
      </w:r>
      <w:r w:rsidR="4349D34A" w:rsidRPr="0084485B">
        <w:rPr>
          <w:rFonts w:ascii="Times New Roman" w:hAnsi="Times New Roman" w:cs="Times New Roman"/>
        </w:rPr>
        <w:t xml:space="preserve"> Corona and Model</w:t>
      </w:r>
      <w:r w:rsidR="00143DDA" w:rsidRPr="0084485B">
        <w:rPr>
          <w:rFonts w:ascii="Times New Roman" w:hAnsi="Times New Roman" w:cs="Times New Roman"/>
        </w:rPr>
        <w:t>o</w:t>
      </w:r>
      <w:r w:rsidR="4349D34A" w:rsidRPr="0084485B">
        <w:rPr>
          <w:rFonts w:ascii="Times New Roman" w:hAnsi="Times New Roman" w:cs="Times New Roman"/>
        </w:rPr>
        <w:t xml:space="preserve">. </w:t>
      </w:r>
      <w:r w:rsidR="00043667" w:rsidRPr="0084485B">
        <w:rPr>
          <w:rFonts w:ascii="Times New Roman" w:hAnsi="Times New Roman" w:cs="Times New Roman"/>
        </w:rPr>
        <w:t xml:space="preserve">While Molson Coors has been a major player in the beer industry for decades, </w:t>
      </w:r>
      <w:r w:rsidR="00B95764" w:rsidRPr="0084485B">
        <w:rPr>
          <w:rFonts w:ascii="Times New Roman" w:hAnsi="Times New Roman" w:cs="Times New Roman"/>
        </w:rPr>
        <w:t xml:space="preserve">they have </w:t>
      </w:r>
      <w:r w:rsidR="00C81638" w:rsidRPr="0084485B">
        <w:rPr>
          <w:rFonts w:ascii="Times New Roman" w:hAnsi="Times New Roman" w:cs="Times New Roman"/>
        </w:rPr>
        <w:t>recognized</w:t>
      </w:r>
      <w:r w:rsidR="00B82EAD" w:rsidRPr="0084485B">
        <w:rPr>
          <w:rFonts w:ascii="Times New Roman" w:hAnsi="Times New Roman" w:cs="Times New Roman"/>
        </w:rPr>
        <w:t xml:space="preserve"> a change in consumer preferences </w:t>
      </w:r>
      <w:r w:rsidR="00F81ED0" w:rsidRPr="0084485B">
        <w:rPr>
          <w:rFonts w:ascii="Times New Roman" w:hAnsi="Times New Roman" w:cs="Times New Roman"/>
        </w:rPr>
        <w:t>away from cheap, high calorie beers and towards hard seltzers/ready-to-drink cocktails</w:t>
      </w:r>
      <w:r w:rsidR="00627B7F" w:rsidRPr="0084485B">
        <w:rPr>
          <w:rFonts w:ascii="Times New Roman" w:hAnsi="Times New Roman" w:cs="Times New Roman"/>
        </w:rPr>
        <w:t xml:space="preserve">. </w:t>
      </w:r>
      <w:r w:rsidR="0042579F" w:rsidRPr="0084485B">
        <w:rPr>
          <w:rFonts w:ascii="Times New Roman" w:hAnsi="Times New Roman" w:cs="Times New Roman"/>
        </w:rPr>
        <w:t>To</w:t>
      </w:r>
      <w:r w:rsidR="00F81ED0" w:rsidRPr="0084485B">
        <w:rPr>
          <w:rFonts w:ascii="Times New Roman" w:hAnsi="Times New Roman" w:cs="Times New Roman"/>
        </w:rPr>
        <w:t xml:space="preserve"> </w:t>
      </w:r>
      <w:r w:rsidR="009B5457" w:rsidRPr="0084485B">
        <w:rPr>
          <w:rFonts w:ascii="Times New Roman" w:hAnsi="Times New Roman" w:cs="Times New Roman"/>
        </w:rPr>
        <w:t>distinguish themselves and take advantage of this shift in pref</w:t>
      </w:r>
      <w:r w:rsidR="00AD139B" w:rsidRPr="0084485B">
        <w:rPr>
          <w:rFonts w:ascii="Times New Roman" w:hAnsi="Times New Roman" w:cs="Times New Roman"/>
        </w:rPr>
        <w:t xml:space="preserve">erences, TAP has acquired a list of companies to diversify their </w:t>
      </w:r>
      <w:r w:rsidR="00896B44" w:rsidRPr="0084485B">
        <w:rPr>
          <w:rFonts w:ascii="Times New Roman" w:hAnsi="Times New Roman" w:cs="Times New Roman"/>
        </w:rPr>
        <w:t>beverage offerings.</w:t>
      </w:r>
    </w:p>
    <w:p w14:paraId="2C61B41E" w14:textId="0F092B08" w:rsidR="008E27AD" w:rsidRPr="0084485B" w:rsidRDefault="6EDB035C" w:rsidP="008E27AD">
      <w:pPr>
        <w:pStyle w:val="Heading1"/>
        <w:rPr>
          <w:rFonts w:ascii="Times New Roman" w:hAnsi="Times New Roman" w:cs="Times New Roman"/>
        </w:rPr>
      </w:pPr>
      <w:r w:rsidRPr="0084485B">
        <w:rPr>
          <w:rFonts w:ascii="Times New Roman" w:hAnsi="Times New Roman" w:cs="Times New Roman"/>
        </w:rPr>
        <w:t xml:space="preserve">3. </w:t>
      </w:r>
      <w:r w:rsidR="00D17866" w:rsidRPr="0084485B">
        <w:rPr>
          <w:rFonts w:ascii="Times New Roman" w:hAnsi="Times New Roman" w:cs="Times New Roman"/>
        </w:rPr>
        <w:t>Key Financials</w:t>
      </w:r>
    </w:p>
    <w:p w14:paraId="3251010B" w14:textId="38DDA726" w:rsidR="4BF32C43" w:rsidRPr="0084485B" w:rsidRDefault="4BF32C43" w:rsidP="6D484AD6">
      <w:pPr>
        <w:pStyle w:val="Heading2"/>
        <w:rPr>
          <w:rFonts w:ascii="Times New Roman" w:hAnsi="Times New Roman" w:cs="Times New Roman"/>
        </w:rPr>
      </w:pPr>
      <w:r w:rsidRPr="0084485B">
        <w:rPr>
          <w:rFonts w:ascii="Times New Roman" w:hAnsi="Times New Roman" w:cs="Times New Roman"/>
        </w:rPr>
        <w:t>Income Statement</w:t>
      </w:r>
    </w:p>
    <w:p w14:paraId="7F4C28AD" w14:textId="3C8AFAD1" w:rsidR="00911AFE" w:rsidRPr="0084485B" w:rsidRDefault="55C37AD3">
      <w:pPr>
        <w:rPr>
          <w:rFonts w:ascii="Times New Roman" w:hAnsi="Times New Roman" w:cs="Times New Roman"/>
        </w:rPr>
      </w:pPr>
      <w:r w:rsidRPr="0084485B">
        <w:rPr>
          <w:rFonts w:ascii="Times New Roman" w:hAnsi="Times New Roman" w:cs="Times New Roman"/>
        </w:rPr>
        <w:t xml:space="preserve">Molson Coors has made a strong recovery in revenue as it continues to increase steadily from </w:t>
      </w:r>
      <w:r w:rsidR="0042579F" w:rsidRPr="0084485B">
        <w:rPr>
          <w:rFonts w:ascii="Times New Roman" w:hAnsi="Times New Roman" w:cs="Times New Roman"/>
        </w:rPr>
        <w:t>$</w:t>
      </w:r>
      <w:r w:rsidRPr="0084485B">
        <w:rPr>
          <w:rFonts w:ascii="Times New Roman" w:hAnsi="Times New Roman" w:cs="Times New Roman"/>
        </w:rPr>
        <w:t xml:space="preserve">9.65 billion in 2020 to </w:t>
      </w:r>
      <w:r w:rsidR="0042579F" w:rsidRPr="0084485B">
        <w:rPr>
          <w:rFonts w:ascii="Times New Roman" w:hAnsi="Times New Roman" w:cs="Times New Roman"/>
        </w:rPr>
        <w:t>$</w:t>
      </w:r>
      <w:r w:rsidRPr="0084485B">
        <w:rPr>
          <w:rFonts w:ascii="Times New Roman" w:hAnsi="Times New Roman" w:cs="Times New Roman"/>
        </w:rPr>
        <w:t>11.63 billion in 2024. This recovery</w:t>
      </w:r>
      <w:r w:rsidR="15684E27" w:rsidRPr="0084485B">
        <w:rPr>
          <w:rFonts w:ascii="Times New Roman" w:hAnsi="Times New Roman" w:cs="Times New Roman"/>
        </w:rPr>
        <w:t xml:space="preserve"> demonstrates their ability to meet </w:t>
      </w:r>
      <w:r w:rsidR="00856299" w:rsidRPr="0084485B">
        <w:rPr>
          <w:rFonts w:ascii="Times New Roman" w:hAnsi="Times New Roman" w:cs="Times New Roman"/>
        </w:rPr>
        <w:t xml:space="preserve">and overcome </w:t>
      </w:r>
      <w:r w:rsidR="15684E27" w:rsidRPr="0084485B">
        <w:rPr>
          <w:rFonts w:ascii="Times New Roman" w:hAnsi="Times New Roman" w:cs="Times New Roman"/>
        </w:rPr>
        <w:t xml:space="preserve">challenges </w:t>
      </w:r>
      <w:r w:rsidR="00856299" w:rsidRPr="0084485B">
        <w:rPr>
          <w:rFonts w:ascii="Times New Roman" w:hAnsi="Times New Roman" w:cs="Times New Roman"/>
        </w:rPr>
        <w:t xml:space="preserve">such </w:t>
      </w:r>
      <w:r w:rsidR="15684E27" w:rsidRPr="0084485B">
        <w:rPr>
          <w:rFonts w:ascii="Times New Roman" w:hAnsi="Times New Roman" w:cs="Times New Roman"/>
        </w:rPr>
        <w:t xml:space="preserve">as </w:t>
      </w:r>
      <w:r w:rsidR="00856299" w:rsidRPr="0084485B">
        <w:rPr>
          <w:rFonts w:ascii="Times New Roman" w:hAnsi="Times New Roman" w:cs="Times New Roman"/>
        </w:rPr>
        <w:t>COVID</w:t>
      </w:r>
      <w:r w:rsidRPr="0084485B">
        <w:rPr>
          <w:rFonts w:ascii="Times New Roman" w:hAnsi="Times New Roman" w:cs="Times New Roman"/>
        </w:rPr>
        <w:t xml:space="preserve"> and </w:t>
      </w:r>
      <w:r w:rsidR="13ACFFE1" w:rsidRPr="0084485B">
        <w:rPr>
          <w:rFonts w:ascii="Times New Roman" w:hAnsi="Times New Roman" w:cs="Times New Roman"/>
        </w:rPr>
        <w:t xml:space="preserve">to capitalize </w:t>
      </w:r>
      <w:r w:rsidRPr="0084485B">
        <w:rPr>
          <w:rFonts w:ascii="Times New Roman" w:hAnsi="Times New Roman" w:cs="Times New Roman"/>
        </w:rPr>
        <w:t xml:space="preserve">on emerging opportunities. </w:t>
      </w:r>
      <w:r w:rsidR="46CC29D2" w:rsidRPr="0084485B">
        <w:rPr>
          <w:rFonts w:ascii="Times New Roman" w:hAnsi="Times New Roman" w:cs="Times New Roman"/>
        </w:rPr>
        <w:t>D</w:t>
      </w:r>
      <w:r w:rsidRPr="0084485B">
        <w:rPr>
          <w:rFonts w:ascii="Times New Roman" w:hAnsi="Times New Roman" w:cs="Times New Roman"/>
        </w:rPr>
        <w:t xml:space="preserve">ecisions like product variation, price adjustments, </w:t>
      </w:r>
      <w:r w:rsidR="00421B2A" w:rsidRPr="0084485B">
        <w:rPr>
          <w:rFonts w:ascii="Times New Roman" w:hAnsi="Times New Roman" w:cs="Times New Roman"/>
        </w:rPr>
        <w:t>and</w:t>
      </w:r>
      <w:r w:rsidRPr="0084485B">
        <w:rPr>
          <w:rFonts w:ascii="Times New Roman" w:hAnsi="Times New Roman" w:cs="Times New Roman"/>
        </w:rPr>
        <w:t xml:space="preserve"> entering new markets </w:t>
      </w:r>
      <w:r w:rsidR="00421B2A" w:rsidRPr="0084485B">
        <w:rPr>
          <w:rFonts w:ascii="Times New Roman" w:hAnsi="Times New Roman" w:cs="Times New Roman"/>
        </w:rPr>
        <w:t>have</w:t>
      </w:r>
      <w:r w:rsidRPr="0084485B">
        <w:rPr>
          <w:rFonts w:ascii="Times New Roman" w:hAnsi="Times New Roman" w:cs="Times New Roman"/>
        </w:rPr>
        <w:t xml:space="preserve"> help</w:t>
      </w:r>
      <w:r w:rsidR="00421B2A" w:rsidRPr="0084485B">
        <w:rPr>
          <w:rFonts w:ascii="Times New Roman" w:hAnsi="Times New Roman" w:cs="Times New Roman"/>
        </w:rPr>
        <w:t>ed</w:t>
      </w:r>
      <w:r w:rsidRPr="0084485B">
        <w:rPr>
          <w:rFonts w:ascii="Times New Roman" w:hAnsi="Times New Roman" w:cs="Times New Roman"/>
        </w:rPr>
        <w:t xml:space="preserve"> them maintain sales in a highly saturated </w:t>
      </w:r>
      <w:r w:rsidR="00421B2A" w:rsidRPr="0084485B">
        <w:rPr>
          <w:rFonts w:ascii="Times New Roman" w:hAnsi="Times New Roman" w:cs="Times New Roman"/>
        </w:rPr>
        <w:t xml:space="preserve">beer </w:t>
      </w:r>
      <w:r w:rsidRPr="0084485B">
        <w:rPr>
          <w:rFonts w:ascii="Times New Roman" w:hAnsi="Times New Roman" w:cs="Times New Roman"/>
        </w:rPr>
        <w:t>market.</w:t>
      </w:r>
    </w:p>
    <w:p w14:paraId="5E2043E3" w14:textId="3E1B2060" w:rsidR="00911AFE" w:rsidRPr="0084485B" w:rsidRDefault="55C37AD3" w:rsidP="56FA00A7">
      <w:pPr>
        <w:rPr>
          <w:rFonts w:ascii="Times New Roman" w:hAnsi="Times New Roman" w:cs="Times New Roman"/>
        </w:rPr>
      </w:pPr>
      <w:r w:rsidRPr="0084485B">
        <w:rPr>
          <w:rFonts w:ascii="Times New Roman" w:hAnsi="Times New Roman" w:cs="Times New Roman"/>
        </w:rPr>
        <w:t>As far as expenses are concerned, there was a blip in terms of cost of goods sold</w:t>
      </w:r>
      <w:r w:rsidR="70CF48E7" w:rsidRPr="0084485B">
        <w:rPr>
          <w:rFonts w:ascii="Times New Roman" w:hAnsi="Times New Roman" w:cs="Times New Roman"/>
        </w:rPr>
        <w:t xml:space="preserve">, </w:t>
      </w:r>
      <w:r w:rsidRPr="0084485B">
        <w:rPr>
          <w:rFonts w:ascii="Times New Roman" w:hAnsi="Times New Roman" w:cs="Times New Roman"/>
        </w:rPr>
        <w:t xml:space="preserve">likely due to price increases related to raw materials or packaging in an inflation environment. </w:t>
      </w:r>
      <w:r w:rsidR="00657D31" w:rsidRPr="0084485B">
        <w:rPr>
          <w:rFonts w:ascii="Times New Roman" w:hAnsi="Times New Roman" w:cs="Times New Roman"/>
        </w:rPr>
        <w:t>However,</w:t>
      </w:r>
      <w:r w:rsidRPr="0084485B">
        <w:rPr>
          <w:rFonts w:ascii="Times New Roman" w:hAnsi="Times New Roman" w:cs="Times New Roman"/>
        </w:rPr>
        <w:t xml:space="preserve"> </w:t>
      </w:r>
      <w:r w:rsidR="00472C31" w:rsidRPr="0084485B">
        <w:rPr>
          <w:rFonts w:ascii="Times New Roman" w:hAnsi="Times New Roman" w:cs="Times New Roman"/>
        </w:rPr>
        <w:t>due to recent investments in production technology and software</w:t>
      </w:r>
      <w:r w:rsidRPr="0084485B">
        <w:rPr>
          <w:rFonts w:ascii="Times New Roman" w:hAnsi="Times New Roman" w:cs="Times New Roman"/>
        </w:rPr>
        <w:t>,</w:t>
      </w:r>
      <w:r w:rsidR="00472C31" w:rsidRPr="0084485B">
        <w:rPr>
          <w:rFonts w:ascii="Times New Roman" w:hAnsi="Times New Roman" w:cs="Times New Roman"/>
        </w:rPr>
        <w:t xml:space="preserve"> TAP has </w:t>
      </w:r>
      <w:r w:rsidR="00CE09EF" w:rsidRPr="0084485B">
        <w:rPr>
          <w:rFonts w:ascii="Times New Roman" w:hAnsi="Times New Roman" w:cs="Times New Roman"/>
        </w:rPr>
        <w:t xml:space="preserve">become more efficient in managing their expenses which </w:t>
      </w:r>
      <w:r w:rsidR="003934D8" w:rsidRPr="0084485B">
        <w:rPr>
          <w:rFonts w:ascii="Times New Roman" w:hAnsi="Times New Roman" w:cs="Times New Roman"/>
        </w:rPr>
        <w:t>helps</w:t>
      </w:r>
      <w:r w:rsidRPr="0084485B">
        <w:rPr>
          <w:rFonts w:ascii="Times New Roman" w:hAnsi="Times New Roman" w:cs="Times New Roman"/>
        </w:rPr>
        <w:t xml:space="preserve"> to increased bottom-line profits. In addition to that, </w:t>
      </w:r>
      <w:r w:rsidR="003934D8" w:rsidRPr="0084485B">
        <w:rPr>
          <w:rFonts w:ascii="Times New Roman" w:hAnsi="Times New Roman" w:cs="Times New Roman"/>
        </w:rPr>
        <w:t>Coors</w:t>
      </w:r>
      <w:r w:rsidRPr="0084485B">
        <w:rPr>
          <w:rFonts w:ascii="Times New Roman" w:hAnsi="Times New Roman" w:cs="Times New Roman"/>
        </w:rPr>
        <w:t xml:space="preserve"> held fixed marketing expenditures relatively flat in terms of dollars. Th</w:t>
      </w:r>
      <w:r w:rsidR="00B42114" w:rsidRPr="0084485B">
        <w:rPr>
          <w:rFonts w:ascii="Times New Roman" w:hAnsi="Times New Roman" w:cs="Times New Roman"/>
        </w:rPr>
        <w:t>is</w:t>
      </w:r>
      <w:r w:rsidRPr="0084485B">
        <w:rPr>
          <w:rFonts w:ascii="Times New Roman" w:hAnsi="Times New Roman" w:cs="Times New Roman"/>
        </w:rPr>
        <w:t xml:space="preserve"> shows </w:t>
      </w:r>
      <w:r w:rsidR="00B42114" w:rsidRPr="0084485B">
        <w:rPr>
          <w:rFonts w:ascii="Times New Roman" w:hAnsi="Times New Roman" w:cs="Times New Roman"/>
        </w:rPr>
        <w:t>their</w:t>
      </w:r>
      <w:r w:rsidRPr="0084485B">
        <w:rPr>
          <w:rFonts w:ascii="Times New Roman" w:hAnsi="Times New Roman" w:cs="Times New Roman"/>
        </w:rPr>
        <w:t xml:space="preserve"> commit</w:t>
      </w:r>
      <w:r w:rsidR="00B42114" w:rsidRPr="0084485B">
        <w:rPr>
          <w:rFonts w:ascii="Times New Roman" w:hAnsi="Times New Roman" w:cs="Times New Roman"/>
        </w:rPr>
        <w:t>ment</w:t>
      </w:r>
      <w:r w:rsidRPr="0084485B">
        <w:rPr>
          <w:rFonts w:ascii="Times New Roman" w:hAnsi="Times New Roman" w:cs="Times New Roman"/>
        </w:rPr>
        <w:t xml:space="preserve"> to brand-building.</w:t>
      </w:r>
    </w:p>
    <w:p w14:paraId="47F71474" w14:textId="71E209D0" w:rsidR="00911AFE" w:rsidRPr="0084485B" w:rsidRDefault="55C37AD3" w:rsidP="56FA00A7">
      <w:pPr>
        <w:rPr>
          <w:rFonts w:ascii="Times New Roman" w:hAnsi="Times New Roman" w:cs="Times New Roman"/>
        </w:rPr>
      </w:pPr>
      <w:r w:rsidRPr="0084485B">
        <w:rPr>
          <w:rFonts w:ascii="Times New Roman" w:hAnsi="Times New Roman" w:cs="Times New Roman"/>
        </w:rPr>
        <w:t>The finances appear to be more secure</w:t>
      </w:r>
      <w:r w:rsidR="00B42114" w:rsidRPr="0084485B">
        <w:rPr>
          <w:rFonts w:ascii="Times New Roman" w:hAnsi="Times New Roman" w:cs="Times New Roman"/>
        </w:rPr>
        <w:t>,</w:t>
      </w:r>
      <w:r w:rsidRPr="0084485B">
        <w:rPr>
          <w:rFonts w:ascii="Times New Roman" w:hAnsi="Times New Roman" w:cs="Times New Roman"/>
        </w:rPr>
        <w:t xml:space="preserve"> too</w:t>
      </w:r>
      <w:r w:rsidR="00415248" w:rsidRPr="0084485B">
        <w:rPr>
          <w:rFonts w:ascii="Times New Roman" w:hAnsi="Times New Roman" w:cs="Times New Roman"/>
        </w:rPr>
        <w:t>.</w:t>
      </w:r>
      <w:r w:rsidRPr="0084485B">
        <w:rPr>
          <w:rFonts w:ascii="Times New Roman" w:hAnsi="Times New Roman" w:cs="Times New Roman"/>
        </w:rPr>
        <w:t xml:space="preserve"> </w:t>
      </w:r>
      <w:r w:rsidR="00415248" w:rsidRPr="0084485B">
        <w:rPr>
          <w:rFonts w:ascii="Times New Roman" w:hAnsi="Times New Roman" w:cs="Times New Roman"/>
        </w:rPr>
        <w:t>TAP had</w:t>
      </w:r>
      <w:r w:rsidRPr="0084485B">
        <w:rPr>
          <w:rFonts w:ascii="Times New Roman" w:hAnsi="Times New Roman" w:cs="Times New Roman"/>
        </w:rPr>
        <w:t xml:space="preserve"> a sharp decline</w:t>
      </w:r>
      <w:r w:rsidR="00225D47" w:rsidRPr="0084485B">
        <w:rPr>
          <w:rFonts w:ascii="Times New Roman" w:hAnsi="Times New Roman" w:cs="Times New Roman"/>
        </w:rPr>
        <w:t xml:space="preserve"> in</w:t>
      </w:r>
      <w:r w:rsidRPr="0084485B">
        <w:rPr>
          <w:rFonts w:ascii="Times New Roman" w:hAnsi="Times New Roman" w:cs="Times New Roman"/>
        </w:rPr>
        <w:t xml:space="preserve"> net interest expenses as a percentage of </w:t>
      </w:r>
      <w:r w:rsidR="00A2577B" w:rsidRPr="0084485B">
        <w:rPr>
          <w:rFonts w:ascii="Times New Roman" w:hAnsi="Times New Roman" w:cs="Times New Roman"/>
        </w:rPr>
        <w:t>revenue from</w:t>
      </w:r>
      <w:r w:rsidRPr="0084485B">
        <w:rPr>
          <w:rFonts w:ascii="Times New Roman" w:hAnsi="Times New Roman" w:cs="Times New Roman"/>
        </w:rPr>
        <w:t xml:space="preserve"> 2.6% in 2019</w:t>
      </w:r>
      <w:r w:rsidR="00A2577B" w:rsidRPr="0084485B">
        <w:rPr>
          <w:rFonts w:ascii="Times New Roman" w:hAnsi="Times New Roman" w:cs="Times New Roman"/>
        </w:rPr>
        <w:t xml:space="preserve"> </w:t>
      </w:r>
      <w:r w:rsidRPr="0084485B">
        <w:rPr>
          <w:rFonts w:ascii="Times New Roman" w:hAnsi="Times New Roman" w:cs="Times New Roman"/>
        </w:rPr>
        <w:t xml:space="preserve">to 2.1% in 2024. </w:t>
      </w:r>
      <w:r w:rsidR="4C2B9EFE" w:rsidRPr="0084485B">
        <w:rPr>
          <w:rFonts w:ascii="Times New Roman" w:hAnsi="Times New Roman" w:cs="Times New Roman"/>
        </w:rPr>
        <w:t>L</w:t>
      </w:r>
      <w:r w:rsidRPr="0084485B">
        <w:rPr>
          <w:rFonts w:ascii="Times New Roman" w:hAnsi="Times New Roman" w:cs="Times New Roman"/>
        </w:rPr>
        <w:t xml:space="preserve">ower interest costs mean less interest to pay </w:t>
      </w:r>
      <w:r w:rsidR="00D022DD" w:rsidRPr="0084485B">
        <w:rPr>
          <w:rFonts w:ascii="Times New Roman" w:hAnsi="Times New Roman" w:cs="Times New Roman"/>
        </w:rPr>
        <w:t>and</w:t>
      </w:r>
      <w:r w:rsidRPr="0084485B">
        <w:rPr>
          <w:rFonts w:ascii="Times New Roman" w:hAnsi="Times New Roman" w:cs="Times New Roman"/>
        </w:rPr>
        <w:t xml:space="preserve"> lower borrowing interest rates. </w:t>
      </w:r>
      <w:r w:rsidR="00474A5F" w:rsidRPr="0084485B">
        <w:rPr>
          <w:rFonts w:ascii="Times New Roman" w:hAnsi="Times New Roman" w:cs="Times New Roman"/>
        </w:rPr>
        <w:t>Additionally, TAP</w:t>
      </w:r>
      <w:r w:rsidRPr="0084485B">
        <w:rPr>
          <w:rFonts w:ascii="Times New Roman" w:hAnsi="Times New Roman" w:cs="Times New Roman"/>
        </w:rPr>
        <w:t xml:space="preserve"> </w:t>
      </w:r>
      <w:r w:rsidR="00474A5F" w:rsidRPr="0084485B">
        <w:rPr>
          <w:rFonts w:ascii="Times New Roman" w:hAnsi="Times New Roman" w:cs="Times New Roman"/>
        </w:rPr>
        <w:t>is</w:t>
      </w:r>
      <w:r w:rsidRPr="0084485B">
        <w:rPr>
          <w:rFonts w:ascii="Times New Roman" w:hAnsi="Times New Roman" w:cs="Times New Roman"/>
        </w:rPr>
        <w:t xml:space="preserve"> doing great in terms of profit recovery. The</w:t>
      </w:r>
      <w:r w:rsidR="00474A5F" w:rsidRPr="0084485B">
        <w:rPr>
          <w:rFonts w:ascii="Times New Roman" w:hAnsi="Times New Roman" w:cs="Times New Roman"/>
        </w:rPr>
        <w:t xml:space="preserve"> company is</w:t>
      </w:r>
      <w:r w:rsidRPr="0084485B">
        <w:rPr>
          <w:rFonts w:ascii="Times New Roman" w:hAnsi="Times New Roman" w:cs="Times New Roman"/>
        </w:rPr>
        <w:t xml:space="preserve"> almost back to pre-pandemic profit numbers with improved EBIT margins since 2022</w:t>
      </w:r>
      <w:r w:rsidR="00962656" w:rsidRPr="0084485B">
        <w:rPr>
          <w:rFonts w:ascii="Times New Roman" w:hAnsi="Times New Roman" w:cs="Times New Roman"/>
        </w:rPr>
        <w:t xml:space="preserve">, and </w:t>
      </w:r>
      <w:r w:rsidR="00962656" w:rsidRPr="0084485B">
        <w:rPr>
          <w:rFonts w:ascii="Times New Roman" w:hAnsi="Times New Roman" w:cs="Times New Roman"/>
        </w:rPr>
        <w:lastRenderedPageBreak/>
        <w:t>they</w:t>
      </w:r>
      <w:r w:rsidRPr="0084485B">
        <w:rPr>
          <w:rFonts w:ascii="Times New Roman" w:hAnsi="Times New Roman" w:cs="Times New Roman"/>
        </w:rPr>
        <w:t xml:space="preserve"> are maintaining a steady net income from core business activities. </w:t>
      </w:r>
      <w:r w:rsidR="00962656" w:rsidRPr="0084485B">
        <w:rPr>
          <w:rFonts w:ascii="Times New Roman" w:hAnsi="Times New Roman" w:cs="Times New Roman"/>
        </w:rPr>
        <w:t>Overall, TAP</w:t>
      </w:r>
      <w:r w:rsidRPr="0084485B">
        <w:rPr>
          <w:rFonts w:ascii="Times New Roman" w:hAnsi="Times New Roman" w:cs="Times New Roman"/>
        </w:rPr>
        <w:t xml:space="preserve"> </w:t>
      </w:r>
      <w:r w:rsidR="00962656" w:rsidRPr="0084485B">
        <w:rPr>
          <w:rFonts w:ascii="Times New Roman" w:hAnsi="Times New Roman" w:cs="Times New Roman"/>
        </w:rPr>
        <w:t>is</w:t>
      </w:r>
      <w:r w:rsidRPr="0084485B">
        <w:rPr>
          <w:rFonts w:ascii="Times New Roman" w:hAnsi="Times New Roman" w:cs="Times New Roman"/>
        </w:rPr>
        <w:t xml:space="preserve"> managing well in these challenging global </w:t>
      </w:r>
      <w:r w:rsidR="70B4079E" w:rsidRPr="0084485B">
        <w:rPr>
          <w:rFonts w:ascii="Times New Roman" w:hAnsi="Times New Roman" w:cs="Times New Roman"/>
        </w:rPr>
        <w:t xml:space="preserve">conditions. </w:t>
      </w:r>
    </w:p>
    <w:p w14:paraId="72A6B8D4" w14:textId="4269E8CB" w:rsidR="00911AFE" w:rsidRPr="0084485B" w:rsidRDefault="70B4079E" w:rsidP="6D484AD6">
      <w:pPr>
        <w:pStyle w:val="Heading2"/>
        <w:rPr>
          <w:rFonts w:ascii="Times New Roman" w:hAnsi="Times New Roman" w:cs="Times New Roman"/>
        </w:rPr>
      </w:pPr>
      <w:r w:rsidRPr="0084485B">
        <w:rPr>
          <w:rFonts w:ascii="Times New Roman" w:hAnsi="Times New Roman" w:cs="Times New Roman"/>
        </w:rPr>
        <w:t>Balance</w:t>
      </w:r>
      <w:r w:rsidR="3DBA8351" w:rsidRPr="0084485B">
        <w:rPr>
          <w:rFonts w:ascii="Times New Roman" w:hAnsi="Times New Roman" w:cs="Times New Roman"/>
        </w:rPr>
        <w:t xml:space="preserve"> Sheet</w:t>
      </w:r>
    </w:p>
    <w:p w14:paraId="53E53DB6" w14:textId="58FA7783" w:rsidR="00911AFE" w:rsidRPr="0084485B" w:rsidRDefault="1766DB15" w:rsidP="56FA00A7">
      <w:pPr>
        <w:rPr>
          <w:rFonts w:ascii="Times New Roman" w:hAnsi="Times New Roman" w:cs="Times New Roman"/>
        </w:rPr>
      </w:pPr>
      <w:r w:rsidRPr="0084485B">
        <w:rPr>
          <w:rFonts w:ascii="Times New Roman" w:hAnsi="Times New Roman" w:cs="Times New Roman"/>
        </w:rPr>
        <w:t xml:space="preserve">Molson Coors’ fixed amounts of total receivables, together with past ratios, represent efficient working capital management. Although the marginally increased cash position pushed current assets slightly to $2.85 billion (10.9%), up from $2.42 billion (8.8%) in 2020. The percentage of cash </w:t>
      </w:r>
      <w:r w:rsidR="00C54E01" w:rsidRPr="0084485B">
        <w:rPr>
          <w:rFonts w:ascii="Times New Roman" w:hAnsi="Times New Roman" w:cs="Times New Roman"/>
        </w:rPr>
        <w:t>and</w:t>
      </w:r>
      <w:r w:rsidRPr="0084485B">
        <w:rPr>
          <w:rFonts w:ascii="Times New Roman" w:hAnsi="Times New Roman" w:cs="Times New Roman"/>
        </w:rPr>
        <w:t xml:space="preserve"> investments jumped remarkably to 3.7% of total assets in 2024. Due to small investments made in </w:t>
      </w:r>
      <w:bookmarkStart w:id="0" w:name="_Int_VdhIG453"/>
      <w:r w:rsidRPr="0084485B">
        <w:rPr>
          <w:rFonts w:ascii="Times New Roman" w:hAnsi="Times New Roman" w:cs="Times New Roman"/>
        </w:rPr>
        <w:t>plant</w:t>
      </w:r>
      <w:bookmarkEnd w:id="0"/>
      <w:r w:rsidRPr="0084485B">
        <w:rPr>
          <w:rFonts w:ascii="Times New Roman" w:hAnsi="Times New Roman" w:cs="Times New Roman"/>
        </w:rPr>
        <w:t xml:space="preserve"> and equipment to improve productivity without going to excess with asset expansion, net PP&amp;E margina</w:t>
      </w:r>
      <w:r w:rsidR="76260761" w:rsidRPr="0084485B">
        <w:rPr>
          <w:rFonts w:ascii="Times New Roman" w:hAnsi="Times New Roman" w:cs="Times New Roman"/>
        </w:rPr>
        <w:t>l</w:t>
      </w:r>
      <w:r w:rsidRPr="0084485B">
        <w:rPr>
          <w:rFonts w:ascii="Times New Roman" w:hAnsi="Times New Roman" w:cs="Times New Roman"/>
        </w:rPr>
        <w:t xml:space="preserve">ly increased to 17.8% in 2024, up from 16.0% previously. In fact, to avoid curtailing efficiency gains in processing capacities due to excess expansion in assets, this category suggests sound capital investment. The immense </w:t>
      </w:r>
      <w:r w:rsidR="00E45259" w:rsidRPr="0084485B">
        <w:rPr>
          <w:rFonts w:ascii="Times New Roman" w:hAnsi="Times New Roman" w:cs="Times New Roman"/>
        </w:rPr>
        <w:t>c</w:t>
      </w:r>
      <w:r w:rsidRPr="0084485B">
        <w:rPr>
          <w:rFonts w:ascii="Times New Roman" w:hAnsi="Times New Roman" w:cs="Times New Roman"/>
        </w:rPr>
        <w:t xml:space="preserve">ommon </w:t>
      </w:r>
      <w:r w:rsidR="00E45259" w:rsidRPr="0084485B">
        <w:rPr>
          <w:rFonts w:ascii="Times New Roman" w:hAnsi="Times New Roman" w:cs="Times New Roman"/>
        </w:rPr>
        <w:t>s</w:t>
      </w:r>
      <w:r w:rsidRPr="0084485B">
        <w:rPr>
          <w:rFonts w:ascii="Times New Roman" w:hAnsi="Times New Roman" w:cs="Times New Roman"/>
        </w:rPr>
        <w:t>ize category measure for goodwill illustrates its potency in acquisitions but could pose similar impairment risks if its future performances become mediocre due to too much intangible asset intensity.</w:t>
      </w:r>
    </w:p>
    <w:p w14:paraId="0E5E4CC6" w14:textId="667E4531" w:rsidR="00911AFE" w:rsidRPr="0084485B" w:rsidRDefault="1766DB15" w:rsidP="56FA00A7">
      <w:pPr>
        <w:rPr>
          <w:rFonts w:ascii="Times New Roman" w:hAnsi="Times New Roman" w:cs="Times New Roman"/>
        </w:rPr>
      </w:pPr>
      <w:r w:rsidRPr="0084485B">
        <w:rPr>
          <w:rFonts w:ascii="Times New Roman" w:hAnsi="Times New Roman" w:cs="Times New Roman"/>
        </w:rPr>
        <w:t xml:space="preserve">The total assets are quite stable between $26 billion and $27 billion between 2020 and 2024. Although there’s </w:t>
      </w:r>
      <w:r w:rsidR="2E46BCE1" w:rsidRPr="0084485B">
        <w:rPr>
          <w:rFonts w:ascii="Times New Roman" w:hAnsi="Times New Roman" w:cs="Times New Roman"/>
        </w:rPr>
        <w:t>been a slight</w:t>
      </w:r>
      <w:r w:rsidRPr="0084485B">
        <w:rPr>
          <w:rFonts w:ascii="Times New Roman" w:hAnsi="Times New Roman" w:cs="Times New Roman"/>
        </w:rPr>
        <w:t xml:space="preserve"> drop since 2021, Coors seems to manage its assets well. The fall in current liabilities to 11.7% from 14.3% shows Coors’ improved position concerning its short-term liabilities. The drop shows that Coors’ position has improved concerning its short-term liabilities since there’s a rise in its cash holding.</w:t>
      </w:r>
    </w:p>
    <w:p w14:paraId="59B70B93" w14:textId="6817AB18" w:rsidR="00911AFE" w:rsidRPr="0084485B" w:rsidRDefault="1766DB15" w:rsidP="56FA00A7">
      <w:pPr>
        <w:rPr>
          <w:rFonts w:ascii="Times New Roman" w:hAnsi="Times New Roman" w:cs="Times New Roman"/>
        </w:rPr>
      </w:pPr>
      <w:r w:rsidRPr="0084485B">
        <w:rPr>
          <w:rFonts w:ascii="Times New Roman" w:hAnsi="Times New Roman" w:cs="Times New Roman"/>
        </w:rPr>
        <w:t xml:space="preserve">Coors’ leverage has shown continuous deleveraging, thus </w:t>
      </w:r>
      <w:proofErr w:type="gramStart"/>
      <w:r w:rsidRPr="0084485B">
        <w:rPr>
          <w:rFonts w:ascii="Times New Roman" w:hAnsi="Times New Roman" w:cs="Times New Roman"/>
        </w:rPr>
        <w:t>increasing</w:t>
      </w:r>
      <w:proofErr w:type="gramEnd"/>
      <w:r w:rsidRPr="0084485B">
        <w:rPr>
          <w:rFonts w:ascii="Times New Roman" w:hAnsi="Times New Roman" w:cs="Times New Roman"/>
        </w:rPr>
        <w:t xml:space="preserve"> its balance sheet strength and lessening financial risk. This small growth in Treasury Stock can be accounted for by share buybacks and foreign currency translation adjustments. They are not significant compared to its equity, so there are no risks to its balance sheet. Meanwhile, between 2020-2024, its equity grew to 51.6% from 46.2% of its assets. The stability of its finances and its ability to create value for its shareholders can be identified because equity continues to grow steadily due to its increased retained earnings and lower leverage.</w:t>
      </w:r>
    </w:p>
    <w:p w14:paraId="1C440CF0" w14:textId="23990313" w:rsidR="00D17866" w:rsidRPr="0084485B" w:rsidRDefault="33DB8CD6" w:rsidP="6D484AD6">
      <w:pPr>
        <w:pStyle w:val="Heading2"/>
        <w:rPr>
          <w:rFonts w:ascii="Times New Roman" w:hAnsi="Times New Roman" w:cs="Times New Roman"/>
        </w:rPr>
      </w:pPr>
      <w:r w:rsidRPr="0084485B">
        <w:rPr>
          <w:rFonts w:ascii="Times New Roman" w:hAnsi="Times New Roman" w:cs="Times New Roman"/>
        </w:rPr>
        <w:lastRenderedPageBreak/>
        <w:t>Ratios</w:t>
      </w:r>
    </w:p>
    <w:p w14:paraId="68BAB06B" w14:textId="5A41B6FA" w:rsidR="00D17866" w:rsidRPr="0084485B" w:rsidRDefault="33DB8CD6" w:rsidP="56FA00A7">
      <w:pPr>
        <w:rPr>
          <w:rFonts w:ascii="Times New Roman" w:hAnsi="Times New Roman" w:cs="Times New Roman"/>
        </w:rPr>
      </w:pPr>
      <w:r w:rsidRPr="0084485B">
        <w:rPr>
          <w:rFonts w:ascii="Times New Roman" w:hAnsi="Times New Roman" w:cs="Times New Roman"/>
        </w:rPr>
        <w:t>Liquidity is improving gradually but still below industry peers, indicating lower flexibility to meet unexpected short-term obligations. Coors is operationally very efficient: its inventory and receivables are turning over much faster than that of peers, indicating excellent supply chain management and good cash collection practices that improve liquidity and thereby working capital performance.</w:t>
      </w:r>
    </w:p>
    <w:p w14:paraId="103D6CFB" w14:textId="730C018A" w:rsidR="00D17866" w:rsidRPr="0084485B" w:rsidRDefault="33DB8CD6" w:rsidP="56FA00A7">
      <w:pPr>
        <w:rPr>
          <w:rFonts w:ascii="Times New Roman" w:hAnsi="Times New Roman" w:cs="Times New Roman"/>
        </w:rPr>
      </w:pPr>
      <w:r w:rsidRPr="0084485B">
        <w:rPr>
          <w:rFonts w:ascii="Times New Roman" w:hAnsi="Times New Roman" w:cs="Times New Roman"/>
        </w:rPr>
        <w:t>Coors' leverage is relatively low supporting financial stability but likely reduces leverage-driven returns. Coors' margins are materially below peers, reflecting higher cost of goods sold and weaker pricing power relative to competitors such as Heineken or Constellation Brands.</w:t>
      </w:r>
    </w:p>
    <w:p w14:paraId="625D8EDF" w14:textId="0BFECA5E" w:rsidR="00D17866" w:rsidRPr="0084485B" w:rsidRDefault="33DB8CD6" w:rsidP="56FA00A7">
      <w:pPr>
        <w:rPr>
          <w:rFonts w:ascii="Times New Roman" w:hAnsi="Times New Roman" w:cs="Times New Roman"/>
        </w:rPr>
      </w:pPr>
      <w:r w:rsidRPr="0084485B">
        <w:rPr>
          <w:rFonts w:ascii="Times New Roman" w:hAnsi="Times New Roman" w:cs="Times New Roman"/>
        </w:rPr>
        <w:t>Both ROA and ROE lag peers, signaling lower overall profitability and less efficient use of assets and equity. ROE growth is primarily a function of profit margin recovery, not leverage or asset efficiency. The company's conservative capital structure tempers ROE relative to higher-levered peers.</w:t>
      </w:r>
    </w:p>
    <w:p w14:paraId="3CFDE9E7" w14:textId="23BB7B41" w:rsidR="38AEB896" w:rsidRPr="0084485B" w:rsidRDefault="38AEB896" w:rsidP="6D484AD6">
      <w:pPr>
        <w:pStyle w:val="Heading1"/>
        <w:rPr>
          <w:rFonts w:ascii="Times New Roman" w:hAnsi="Times New Roman" w:cs="Times New Roman"/>
        </w:rPr>
      </w:pPr>
      <w:r w:rsidRPr="0084485B">
        <w:rPr>
          <w:rFonts w:ascii="Times New Roman" w:hAnsi="Times New Roman" w:cs="Times New Roman"/>
        </w:rPr>
        <w:t xml:space="preserve">4. </w:t>
      </w:r>
      <w:r w:rsidR="35FA264C" w:rsidRPr="0084485B">
        <w:rPr>
          <w:rFonts w:ascii="Times New Roman" w:hAnsi="Times New Roman" w:cs="Times New Roman"/>
        </w:rPr>
        <w:t>Discounted Cash Flows Valuation</w:t>
      </w:r>
    </w:p>
    <w:p w14:paraId="6E46495F" w14:textId="7D5EC18C" w:rsidR="00DC7CDC" w:rsidRPr="0084485B" w:rsidRDefault="007227D6" w:rsidP="6D484AD6">
      <w:pPr>
        <w:pStyle w:val="Heading2"/>
        <w:rPr>
          <w:rFonts w:ascii="Times New Roman" w:hAnsi="Times New Roman" w:cs="Times New Roman"/>
        </w:rPr>
      </w:pPr>
      <w:r w:rsidRPr="0084485B">
        <w:rPr>
          <w:rFonts w:ascii="Times New Roman" w:hAnsi="Times New Roman" w:cs="Times New Roman"/>
        </w:rPr>
        <w:t xml:space="preserve">Process and </w:t>
      </w:r>
      <w:r w:rsidR="00DC7CDC" w:rsidRPr="0084485B">
        <w:rPr>
          <w:rFonts w:ascii="Times New Roman" w:hAnsi="Times New Roman" w:cs="Times New Roman"/>
        </w:rPr>
        <w:t>Forecast Window</w:t>
      </w:r>
    </w:p>
    <w:p w14:paraId="28E9D265" w14:textId="0A818A0A" w:rsidR="00DC7CDC" w:rsidRPr="0084485B" w:rsidRDefault="001A4009" w:rsidP="00DC7CDC">
      <w:pPr>
        <w:rPr>
          <w:rFonts w:ascii="Times New Roman" w:hAnsi="Times New Roman" w:cs="Times New Roman"/>
        </w:rPr>
      </w:pPr>
      <w:r w:rsidRPr="0084485B">
        <w:rPr>
          <w:rFonts w:ascii="Times New Roman" w:hAnsi="Times New Roman" w:cs="Times New Roman"/>
        </w:rPr>
        <w:t>Our DCF valuation aims to estimate Molson Coors’ intrinsic equity value per share based on a five-year projection period (2025–2029).</w:t>
      </w:r>
      <w:r w:rsidR="008D575F" w:rsidRPr="0084485B">
        <w:rPr>
          <w:rFonts w:ascii="Times New Roman" w:hAnsi="Times New Roman" w:cs="Times New Roman"/>
        </w:rPr>
        <w:t>T</w:t>
      </w:r>
      <w:r w:rsidR="00DC7CDC" w:rsidRPr="0084485B">
        <w:rPr>
          <w:rFonts w:ascii="Times New Roman" w:hAnsi="Times New Roman" w:cs="Times New Roman"/>
        </w:rPr>
        <w:t xml:space="preserve">o begin our valuation, </w:t>
      </w:r>
      <w:r w:rsidR="00AF7AD5" w:rsidRPr="0084485B">
        <w:rPr>
          <w:rFonts w:ascii="Times New Roman" w:hAnsi="Times New Roman" w:cs="Times New Roman"/>
        </w:rPr>
        <w:t xml:space="preserve">historical data was gathered from </w:t>
      </w:r>
      <w:r w:rsidR="00BD1864" w:rsidRPr="0084485B">
        <w:rPr>
          <w:rFonts w:ascii="Times New Roman" w:hAnsi="Times New Roman" w:cs="Times New Roman"/>
        </w:rPr>
        <w:t xml:space="preserve">Molson Coors’ </w:t>
      </w:r>
      <w:r w:rsidR="001D5D8D" w:rsidRPr="0084485B">
        <w:rPr>
          <w:rFonts w:ascii="Times New Roman" w:hAnsi="Times New Roman" w:cs="Times New Roman"/>
        </w:rPr>
        <w:t xml:space="preserve">10k financial statements filed with the SEC. </w:t>
      </w:r>
      <w:r w:rsidR="00050E85" w:rsidRPr="0084485B">
        <w:rPr>
          <w:rFonts w:ascii="Times New Roman" w:hAnsi="Times New Roman" w:cs="Times New Roman"/>
        </w:rPr>
        <w:t xml:space="preserve">In total, five years of historical data was gathered dating from 2020-2024. </w:t>
      </w:r>
      <w:r w:rsidR="007227D6" w:rsidRPr="0084485B">
        <w:rPr>
          <w:rFonts w:ascii="Times New Roman" w:hAnsi="Times New Roman" w:cs="Times New Roman"/>
        </w:rPr>
        <w:t>Using our historical</w:t>
      </w:r>
      <w:r w:rsidR="00C13323" w:rsidRPr="0084485B">
        <w:rPr>
          <w:rFonts w:ascii="Times New Roman" w:hAnsi="Times New Roman" w:cs="Times New Roman"/>
        </w:rPr>
        <w:t xml:space="preserve"> data, </w:t>
      </w:r>
      <w:r w:rsidR="004945E3" w:rsidRPr="0084485B">
        <w:rPr>
          <w:rFonts w:ascii="Times New Roman" w:hAnsi="Times New Roman" w:cs="Times New Roman"/>
        </w:rPr>
        <w:t xml:space="preserve">we were able to </w:t>
      </w:r>
      <w:r w:rsidR="009F7494" w:rsidRPr="0084485B">
        <w:rPr>
          <w:rFonts w:ascii="Times New Roman" w:hAnsi="Times New Roman" w:cs="Times New Roman"/>
        </w:rPr>
        <w:t xml:space="preserve">formulate </w:t>
      </w:r>
      <w:r w:rsidR="00114CD7" w:rsidRPr="0084485B">
        <w:rPr>
          <w:rFonts w:ascii="Times New Roman" w:hAnsi="Times New Roman" w:cs="Times New Roman"/>
        </w:rPr>
        <w:t xml:space="preserve">reasonable </w:t>
      </w:r>
      <w:r w:rsidR="009F7494" w:rsidRPr="0084485B">
        <w:rPr>
          <w:rFonts w:ascii="Times New Roman" w:hAnsi="Times New Roman" w:cs="Times New Roman"/>
        </w:rPr>
        <w:t xml:space="preserve">assumptions </w:t>
      </w:r>
      <w:r w:rsidR="00114CD7" w:rsidRPr="0084485B">
        <w:rPr>
          <w:rFonts w:ascii="Times New Roman" w:hAnsi="Times New Roman" w:cs="Times New Roman"/>
        </w:rPr>
        <w:t xml:space="preserve">based </w:t>
      </w:r>
      <w:r w:rsidR="004B45A9" w:rsidRPr="0084485B">
        <w:rPr>
          <w:rFonts w:ascii="Times New Roman" w:hAnsi="Times New Roman" w:cs="Times New Roman"/>
        </w:rPr>
        <w:t xml:space="preserve">on TAP’s </w:t>
      </w:r>
      <w:r w:rsidR="002B45C0" w:rsidRPr="0084485B">
        <w:rPr>
          <w:rFonts w:ascii="Times New Roman" w:hAnsi="Times New Roman" w:cs="Times New Roman"/>
        </w:rPr>
        <w:t>performance over the past 5 years</w:t>
      </w:r>
      <w:r w:rsidR="00C854AD" w:rsidRPr="0084485B">
        <w:rPr>
          <w:rFonts w:ascii="Times New Roman" w:hAnsi="Times New Roman" w:cs="Times New Roman"/>
        </w:rPr>
        <w:t xml:space="preserve">, their current </w:t>
      </w:r>
      <w:r w:rsidR="00127083" w:rsidRPr="0084485B">
        <w:rPr>
          <w:rFonts w:ascii="Times New Roman" w:hAnsi="Times New Roman" w:cs="Times New Roman"/>
        </w:rPr>
        <w:t>operational structure, and</w:t>
      </w:r>
      <w:r w:rsidR="00F535C9" w:rsidRPr="0084485B">
        <w:rPr>
          <w:rFonts w:ascii="Times New Roman" w:hAnsi="Times New Roman" w:cs="Times New Roman"/>
        </w:rPr>
        <w:t xml:space="preserve">, most importantly, </w:t>
      </w:r>
      <w:r w:rsidR="002D4231" w:rsidRPr="0084485B">
        <w:rPr>
          <w:rFonts w:ascii="Times New Roman" w:hAnsi="Times New Roman" w:cs="Times New Roman"/>
        </w:rPr>
        <w:t>what current and future events they are going to be facing.</w:t>
      </w:r>
      <w:r w:rsidR="00AA468B" w:rsidRPr="0084485B">
        <w:rPr>
          <w:rFonts w:ascii="Times New Roman" w:hAnsi="Times New Roman" w:cs="Times New Roman"/>
        </w:rPr>
        <w:t xml:space="preserve"> E</w:t>
      </w:r>
      <w:r w:rsidR="00D06555" w:rsidRPr="0084485B">
        <w:rPr>
          <w:rFonts w:ascii="Times New Roman" w:hAnsi="Times New Roman" w:cs="Times New Roman"/>
        </w:rPr>
        <w:t>xamples of</w:t>
      </w:r>
      <w:r w:rsidR="00DD644F" w:rsidRPr="0084485B">
        <w:rPr>
          <w:rFonts w:ascii="Times New Roman" w:hAnsi="Times New Roman" w:cs="Times New Roman"/>
        </w:rPr>
        <w:t xml:space="preserve"> important factors that were considered are </w:t>
      </w:r>
      <w:r w:rsidR="002C7D63" w:rsidRPr="0084485B">
        <w:rPr>
          <w:rFonts w:ascii="Times New Roman" w:hAnsi="Times New Roman" w:cs="Times New Roman"/>
        </w:rPr>
        <w:t>CEO Gavin Hattersley’s retirement announcement</w:t>
      </w:r>
      <w:r w:rsidR="000416A2" w:rsidRPr="0084485B">
        <w:rPr>
          <w:rFonts w:ascii="Times New Roman" w:hAnsi="Times New Roman" w:cs="Times New Roman"/>
        </w:rPr>
        <w:t xml:space="preserve"> and </w:t>
      </w:r>
      <w:r w:rsidR="005E5BDA" w:rsidRPr="0084485B">
        <w:rPr>
          <w:rFonts w:ascii="Times New Roman" w:hAnsi="Times New Roman" w:cs="Times New Roman"/>
        </w:rPr>
        <w:t xml:space="preserve">TAP’s </w:t>
      </w:r>
      <w:r w:rsidR="00E63DF2" w:rsidRPr="0084485B">
        <w:rPr>
          <w:rFonts w:ascii="Times New Roman" w:hAnsi="Times New Roman" w:cs="Times New Roman"/>
        </w:rPr>
        <w:t xml:space="preserve">current M&amp;A strategy to diversify its product portfolio. </w:t>
      </w:r>
    </w:p>
    <w:p w14:paraId="6AC4A672" w14:textId="443BBCF5" w:rsidR="00E958CE" w:rsidRPr="0084485B" w:rsidRDefault="00592948" w:rsidP="00DC7CDC">
      <w:pPr>
        <w:rPr>
          <w:rFonts w:ascii="Times New Roman" w:hAnsi="Times New Roman" w:cs="Times New Roman"/>
        </w:rPr>
      </w:pPr>
      <w:r w:rsidRPr="0084485B">
        <w:rPr>
          <w:rFonts w:ascii="Times New Roman" w:hAnsi="Times New Roman" w:cs="Times New Roman"/>
        </w:rPr>
        <w:lastRenderedPageBreak/>
        <w:t xml:space="preserve">The forecast window was laid out over the </w:t>
      </w:r>
      <w:r w:rsidR="008B161B" w:rsidRPr="0084485B">
        <w:rPr>
          <w:rFonts w:ascii="Times New Roman" w:hAnsi="Times New Roman" w:cs="Times New Roman"/>
        </w:rPr>
        <w:t xml:space="preserve">next five years (2025-2029) </w:t>
      </w:r>
      <w:r w:rsidR="0046698A" w:rsidRPr="0084485B">
        <w:rPr>
          <w:rFonts w:ascii="Times New Roman" w:hAnsi="Times New Roman" w:cs="Times New Roman"/>
        </w:rPr>
        <w:t xml:space="preserve">which </w:t>
      </w:r>
      <w:r w:rsidR="007C24AA" w:rsidRPr="0084485B">
        <w:rPr>
          <w:rFonts w:ascii="Times New Roman" w:hAnsi="Times New Roman" w:cs="Times New Roman"/>
        </w:rPr>
        <w:t>may be</w:t>
      </w:r>
      <w:r w:rsidR="0069046F" w:rsidRPr="0084485B">
        <w:rPr>
          <w:rFonts w:ascii="Times New Roman" w:hAnsi="Times New Roman" w:cs="Times New Roman"/>
        </w:rPr>
        <w:t xml:space="preserve"> </w:t>
      </w:r>
      <w:r w:rsidR="00875E51" w:rsidRPr="0084485B">
        <w:rPr>
          <w:rFonts w:ascii="Times New Roman" w:hAnsi="Times New Roman" w:cs="Times New Roman"/>
        </w:rPr>
        <w:t xml:space="preserve">considered a </w:t>
      </w:r>
      <w:r w:rsidR="0069046F" w:rsidRPr="0084485B">
        <w:rPr>
          <w:rFonts w:ascii="Times New Roman" w:hAnsi="Times New Roman" w:cs="Times New Roman"/>
        </w:rPr>
        <w:t xml:space="preserve">short period of time </w:t>
      </w:r>
      <w:r w:rsidR="007C24AA" w:rsidRPr="0084485B">
        <w:rPr>
          <w:rFonts w:ascii="Times New Roman" w:hAnsi="Times New Roman" w:cs="Times New Roman"/>
        </w:rPr>
        <w:t xml:space="preserve">in terms of valuation. However, </w:t>
      </w:r>
      <w:r w:rsidR="00B25D93" w:rsidRPr="0084485B">
        <w:rPr>
          <w:rFonts w:ascii="Times New Roman" w:hAnsi="Times New Roman" w:cs="Times New Roman"/>
        </w:rPr>
        <w:t xml:space="preserve">because the goal of the forecast window is to project </w:t>
      </w:r>
      <w:r w:rsidR="008F61D4" w:rsidRPr="0084485B">
        <w:rPr>
          <w:rFonts w:ascii="Times New Roman" w:hAnsi="Times New Roman" w:cs="Times New Roman"/>
        </w:rPr>
        <w:t>a company’s value until it is stabilized</w:t>
      </w:r>
      <w:r w:rsidR="00FD33F0" w:rsidRPr="0084485B">
        <w:rPr>
          <w:rFonts w:ascii="Times New Roman" w:hAnsi="Times New Roman" w:cs="Times New Roman"/>
        </w:rPr>
        <w:t xml:space="preserve">, </w:t>
      </w:r>
      <w:r w:rsidR="00C63D83" w:rsidRPr="0084485B">
        <w:rPr>
          <w:rFonts w:ascii="Times New Roman" w:hAnsi="Times New Roman" w:cs="Times New Roman"/>
        </w:rPr>
        <w:t>the fact that Molson Coors is a low-growth</w:t>
      </w:r>
      <w:r w:rsidR="00650771" w:rsidRPr="0084485B">
        <w:rPr>
          <w:rFonts w:ascii="Times New Roman" w:hAnsi="Times New Roman" w:cs="Times New Roman"/>
        </w:rPr>
        <w:t xml:space="preserve"> company</w:t>
      </w:r>
      <w:r w:rsidR="00FD33F0" w:rsidRPr="0084485B">
        <w:rPr>
          <w:rFonts w:ascii="Times New Roman" w:hAnsi="Times New Roman" w:cs="Times New Roman"/>
        </w:rPr>
        <w:t xml:space="preserve"> that is already </w:t>
      </w:r>
      <w:r w:rsidR="00D22E74" w:rsidRPr="0084485B">
        <w:rPr>
          <w:rFonts w:ascii="Times New Roman" w:hAnsi="Times New Roman" w:cs="Times New Roman"/>
        </w:rPr>
        <w:t xml:space="preserve">relatively stable means that the forecast window does not need to be large. </w:t>
      </w:r>
      <w:r w:rsidR="003A6140" w:rsidRPr="0084485B">
        <w:rPr>
          <w:rFonts w:ascii="Times New Roman" w:hAnsi="Times New Roman" w:cs="Times New Roman"/>
        </w:rPr>
        <w:t>In fact</w:t>
      </w:r>
      <w:r w:rsidR="00110E93" w:rsidRPr="0084485B">
        <w:rPr>
          <w:rFonts w:ascii="Times New Roman" w:hAnsi="Times New Roman" w:cs="Times New Roman"/>
        </w:rPr>
        <w:t xml:space="preserve">, </w:t>
      </w:r>
      <w:r w:rsidR="003A6140" w:rsidRPr="0084485B">
        <w:rPr>
          <w:rFonts w:ascii="Times New Roman" w:hAnsi="Times New Roman" w:cs="Times New Roman"/>
        </w:rPr>
        <w:t xml:space="preserve">the shorter forecast window </w:t>
      </w:r>
      <w:r w:rsidR="00110E93" w:rsidRPr="0084485B">
        <w:rPr>
          <w:rFonts w:ascii="Times New Roman" w:hAnsi="Times New Roman" w:cs="Times New Roman"/>
        </w:rPr>
        <w:t>can allow for</w:t>
      </w:r>
      <w:r w:rsidR="003A6140" w:rsidRPr="0084485B">
        <w:rPr>
          <w:rFonts w:ascii="Times New Roman" w:hAnsi="Times New Roman" w:cs="Times New Roman"/>
        </w:rPr>
        <w:t xml:space="preserve"> less variability and guess work within the valuation</w:t>
      </w:r>
      <w:r w:rsidR="00110E93" w:rsidRPr="0084485B">
        <w:rPr>
          <w:rFonts w:ascii="Times New Roman" w:hAnsi="Times New Roman" w:cs="Times New Roman"/>
        </w:rPr>
        <w:t xml:space="preserve">. </w:t>
      </w:r>
    </w:p>
    <w:p w14:paraId="753C01C2" w14:textId="3543E7DB" w:rsidR="00F9550A" w:rsidRPr="0084485B" w:rsidRDefault="00C8341C" w:rsidP="00DC7CDC">
      <w:pPr>
        <w:rPr>
          <w:rFonts w:ascii="Times New Roman" w:hAnsi="Times New Roman" w:cs="Times New Roman"/>
        </w:rPr>
      </w:pPr>
      <w:r w:rsidRPr="0084485B">
        <w:rPr>
          <w:rFonts w:ascii="Times New Roman" w:hAnsi="Times New Roman" w:cs="Times New Roman"/>
        </w:rPr>
        <w:t xml:space="preserve">Lastly, once </w:t>
      </w:r>
      <w:r w:rsidR="00D52F40" w:rsidRPr="0084485B">
        <w:rPr>
          <w:rFonts w:ascii="Times New Roman" w:hAnsi="Times New Roman" w:cs="Times New Roman"/>
        </w:rPr>
        <w:t xml:space="preserve">all financials were projected, </w:t>
      </w:r>
      <w:r w:rsidR="00B35CD1" w:rsidRPr="0084485B">
        <w:rPr>
          <w:rFonts w:ascii="Times New Roman" w:hAnsi="Times New Roman" w:cs="Times New Roman"/>
        </w:rPr>
        <w:t xml:space="preserve">the </w:t>
      </w:r>
      <w:r w:rsidR="002E2565" w:rsidRPr="0084485B">
        <w:rPr>
          <w:rFonts w:ascii="Times New Roman" w:hAnsi="Times New Roman" w:cs="Times New Roman"/>
        </w:rPr>
        <w:t>unlevered cash flows</w:t>
      </w:r>
      <w:r w:rsidR="411B76DC" w:rsidRPr="0084485B">
        <w:rPr>
          <w:rFonts w:ascii="Times New Roman" w:hAnsi="Times New Roman" w:cs="Times New Roman"/>
        </w:rPr>
        <w:t>,</w:t>
      </w:r>
      <w:r w:rsidR="002E2565" w:rsidRPr="0084485B">
        <w:rPr>
          <w:rFonts w:ascii="Times New Roman" w:hAnsi="Times New Roman" w:cs="Times New Roman"/>
        </w:rPr>
        <w:t xml:space="preserve"> calculated using </w:t>
      </w:r>
      <m:oMath>
        <m:r>
          <w:rPr>
            <w:rFonts w:ascii="Cambria Math" w:hAnsi="Cambria Math"/>
          </w:rPr>
          <m:t>UCF=EBIT</m:t>
        </m:r>
        <m:d>
          <m:dPr>
            <m:ctrlPr>
              <w:rPr>
                <w:rFonts w:ascii="Cambria Math" w:hAnsi="Cambria Math"/>
                <w:i/>
              </w:rPr>
            </m:ctrlPr>
          </m:dPr>
          <m:e>
            <m:r>
              <w:rPr>
                <w:rFonts w:ascii="Cambria Math" w:hAnsi="Cambria Math"/>
              </w:rPr>
              <m:t>1-t</m:t>
            </m:r>
          </m:e>
        </m:d>
        <m:r>
          <w:rPr>
            <w:rFonts w:ascii="Cambria Math" w:hAnsi="Cambria Math"/>
          </w:rPr>
          <m:t>+D&amp;A-Investments-∆NWC</m:t>
        </m:r>
      </m:oMath>
      <w:r w:rsidR="0D8910B7" w:rsidRPr="0084485B">
        <w:rPr>
          <w:rFonts w:ascii="Times New Roman" w:hAnsi="Times New Roman" w:cs="Times New Roman"/>
        </w:rPr>
        <w:t xml:space="preserve">, </w:t>
      </w:r>
      <w:r w:rsidR="1E5FE701" w:rsidRPr="0084485B">
        <w:rPr>
          <w:rFonts w:ascii="Times New Roman" w:hAnsi="Times New Roman" w:cs="Times New Roman"/>
        </w:rPr>
        <w:t>were</w:t>
      </w:r>
      <w:r w:rsidR="00BC5CEC" w:rsidRPr="0084485B">
        <w:rPr>
          <w:rFonts w:ascii="Times New Roman" w:hAnsi="Times New Roman" w:cs="Times New Roman"/>
        </w:rPr>
        <w:t xml:space="preserve"> used to calculate the terminal value using both a perpetuity growth model and an exit multiple. </w:t>
      </w:r>
      <w:r w:rsidR="00D6284B" w:rsidRPr="0084485B">
        <w:rPr>
          <w:rFonts w:ascii="Times New Roman" w:hAnsi="Times New Roman" w:cs="Times New Roman"/>
        </w:rPr>
        <w:t xml:space="preserve">Once a terminal value was attained, </w:t>
      </w:r>
      <w:r w:rsidR="0083035C" w:rsidRPr="0084485B">
        <w:rPr>
          <w:rFonts w:ascii="Times New Roman" w:hAnsi="Times New Roman" w:cs="Times New Roman"/>
        </w:rPr>
        <w:t xml:space="preserve">it was </w:t>
      </w:r>
      <w:r w:rsidR="003A6D0B" w:rsidRPr="0084485B">
        <w:rPr>
          <w:rFonts w:ascii="Times New Roman" w:hAnsi="Times New Roman" w:cs="Times New Roman"/>
        </w:rPr>
        <w:t xml:space="preserve">then discounted </w:t>
      </w:r>
      <w:r w:rsidR="009E218B" w:rsidRPr="0084485B">
        <w:rPr>
          <w:rFonts w:ascii="Times New Roman" w:hAnsi="Times New Roman" w:cs="Times New Roman"/>
        </w:rPr>
        <w:t xml:space="preserve">back to present value </w:t>
      </w:r>
      <w:r w:rsidR="003A6D0B" w:rsidRPr="0084485B">
        <w:rPr>
          <w:rFonts w:ascii="Times New Roman" w:hAnsi="Times New Roman" w:cs="Times New Roman"/>
        </w:rPr>
        <w:t xml:space="preserve">using </w:t>
      </w:r>
      <w:r w:rsidR="00BC6A62" w:rsidRPr="0084485B">
        <w:rPr>
          <w:rFonts w:ascii="Times New Roman" w:hAnsi="Times New Roman" w:cs="Times New Roman"/>
        </w:rPr>
        <w:t xml:space="preserve">the </w:t>
      </w:r>
      <w:r w:rsidR="006A09C0" w:rsidRPr="0084485B">
        <w:rPr>
          <w:rFonts w:ascii="Times New Roman" w:hAnsi="Times New Roman" w:cs="Times New Roman"/>
        </w:rPr>
        <w:t xml:space="preserve">calculated </w:t>
      </w:r>
      <w:r w:rsidR="00BC6A62" w:rsidRPr="0084485B">
        <w:rPr>
          <w:rFonts w:ascii="Times New Roman" w:hAnsi="Times New Roman" w:cs="Times New Roman"/>
        </w:rPr>
        <w:t xml:space="preserve">WACC </w:t>
      </w:r>
      <w:r w:rsidR="006A09C0" w:rsidRPr="0084485B">
        <w:rPr>
          <w:rFonts w:ascii="Times New Roman" w:hAnsi="Times New Roman" w:cs="Times New Roman"/>
        </w:rPr>
        <w:t xml:space="preserve">based on </w:t>
      </w:r>
      <w:r w:rsidR="007E5A5D" w:rsidRPr="0084485B">
        <w:rPr>
          <w:rFonts w:ascii="Times New Roman" w:hAnsi="Times New Roman" w:cs="Times New Roman"/>
        </w:rPr>
        <w:t xml:space="preserve">TAP’s </w:t>
      </w:r>
      <w:r w:rsidR="00CF00B8" w:rsidRPr="0084485B">
        <w:rPr>
          <w:rFonts w:ascii="Times New Roman" w:hAnsi="Times New Roman" w:cs="Times New Roman"/>
        </w:rPr>
        <w:t xml:space="preserve">asset and debt values. </w:t>
      </w:r>
      <w:r w:rsidR="00292767" w:rsidRPr="0084485B">
        <w:rPr>
          <w:rFonts w:ascii="Times New Roman" w:hAnsi="Times New Roman" w:cs="Times New Roman"/>
        </w:rPr>
        <w:t xml:space="preserve">After adding </w:t>
      </w:r>
      <w:r w:rsidR="00E06B43" w:rsidRPr="0084485B">
        <w:rPr>
          <w:rFonts w:ascii="Times New Roman" w:hAnsi="Times New Roman" w:cs="Times New Roman"/>
        </w:rPr>
        <w:t xml:space="preserve">the </w:t>
      </w:r>
      <w:r w:rsidR="00980371" w:rsidRPr="0084485B">
        <w:rPr>
          <w:rFonts w:ascii="Times New Roman" w:hAnsi="Times New Roman" w:cs="Times New Roman"/>
        </w:rPr>
        <w:t xml:space="preserve">net </w:t>
      </w:r>
      <w:r w:rsidR="00E06B43" w:rsidRPr="0084485B">
        <w:rPr>
          <w:rFonts w:ascii="Times New Roman" w:hAnsi="Times New Roman" w:cs="Times New Roman"/>
        </w:rPr>
        <w:t xml:space="preserve">present value of </w:t>
      </w:r>
      <w:r w:rsidR="00476FFB" w:rsidRPr="0084485B">
        <w:rPr>
          <w:rFonts w:ascii="Times New Roman" w:hAnsi="Times New Roman" w:cs="Times New Roman"/>
        </w:rPr>
        <w:t xml:space="preserve">unlevered cash flows </w:t>
      </w:r>
      <w:r w:rsidR="008E126D" w:rsidRPr="0084485B">
        <w:rPr>
          <w:rFonts w:ascii="Times New Roman" w:hAnsi="Times New Roman" w:cs="Times New Roman"/>
        </w:rPr>
        <w:t xml:space="preserve">using the WACC and the entire forecast window, </w:t>
      </w:r>
      <w:r w:rsidR="00D81656" w:rsidRPr="0084485B">
        <w:rPr>
          <w:rFonts w:ascii="Times New Roman" w:hAnsi="Times New Roman" w:cs="Times New Roman"/>
        </w:rPr>
        <w:t xml:space="preserve">we were able to derive </w:t>
      </w:r>
      <w:r w:rsidR="008B486D" w:rsidRPr="0084485B">
        <w:rPr>
          <w:rFonts w:ascii="Times New Roman" w:hAnsi="Times New Roman" w:cs="Times New Roman"/>
        </w:rPr>
        <w:t xml:space="preserve">the total enterprise value. </w:t>
      </w:r>
      <w:r w:rsidR="0048260A" w:rsidRPr="0084485B">
        <w:rPr>
          <w:rFonts w:ascii="Times New Roman" w:hAnsi="Times New Roman" w:cs="Times New Roman"/>
        </w:rPr>
        <w:t xml:space="preserve">The final steps </w:t>
      </w:r>
      <w:r w:rsidR="00F47D2A" w:rsidRPr="0084485B">
        <w:rPr>
          <w:rFonts w:ascii="Times New Roman" w:hAnsi="Times New Roman" w:cs="Times New Roman"/>
        </w:rPr>
        <w:t xml:space="preserve">were to </w:t>
      </w:r>
      <w:r w:rsidR="002A2B71" w:rsidRPr="0084485B">
        <w:rPr>
          <w:rFonts w:ascii="Times New Roman" w:hAnsi="Times New Roman" w:cs="Times New Roman"/>
        </w:rPr>
        <w:t xml:space="preserve">subtract net debt, preferred stock, and </w:t>
      </w:r>
      <w:r w:rsidR="00B3109B" w:rsidRPr="0084485B">
        <w:rPr>
          <w:rFonts w:ascii="Times New Roman" w:hAnsi="Times New Roman" w:cs="Times New Roman"/>
        </w:rPr>
        <w:t xml:space="preserve">non-controlling interest from the enterprise value, </w:t>
      </w:r>
      <w:r w:rsidR="00E73AE2" w:rsidRPr="0084485B">
        <w:rPr>
          <w:rFonts w:ascii="Times New Roman" w:hAnsi="Times New Roman" w:cs="Times New Roman"/>
        </w:rPr>
        <w:t xml:space="preserve">giving us the implied equity value, and then </w:t>
      </w:r>
      <w:r w:rsidR="00D572DF" w:rsidRPr="0084485B">
        <w:rPr>
          <w:rFonts w:ascii="Times New Roman" w:hAnsi="Times New Roman" w:cs="Times New Roman"/>
        </w:rPr>
        <w:t xml:space="preserve">dividing the equity value by the </w:t>
      </w:r>
      <w:r w:rsidR="00A6798A" w:rsidRPr="0084485B">
        <w:rPr>
          <w:rFonts w:ascii="Times New Roman" w:hAnsi="Times New Roman" w:cs="Times New Roman"/>
        </w:rPr>
        <w:t>diluted shares outstanding</w:t>
      </w:r>
      <w:r w:rsidR="002C5112" w:rsidRPr="0084485B">
        <w:rPr>
          <w:rFonts w:ascii="Times New Roman" w:hAnsi="Times New Roman" w:cs="Times New Roman"/>
        </w:rPr>
        <w:t xml:space="preserve"> (which </w:t>
      </w:r>
      <w:r w:rsidR="00D63154" w:rsidRPr="0084485B">
        <w:rPr>
          <w:rFonts w:ascii="Times New Roman" w:hAnsi="Times New Roman" w:cs="Times New Roman"/>
        </w:rPr>
        <w:t xml:space="preserve">were calculated using </w:t>
      </w:r>
      <w:r w:rsidR="0078614F" w:rsidRPr="0084485B">
        <w:rPr>
          <w:rFonts w:ascii="Times New Roman" w:hAnsi="Times New Roman" w:cs="Times New Roman"/>
        </w:rPr>
        <w:t xml:space="preserve">basic share counts, </w:t>
      </w:r>
      <w:r w:rsidR="00F17818" w:rsidRPr="0084485B">
        <w:rPr>
          <w:rFonts w:ascii="Times New Roman" w:hAnsi="Times New Roman" w:cs="Times New Roman"/>
        </w:rPr>
        <w:t>stock options, and RSUs).</w:t>
      </w:r>
      <w:r w:rsidR="009B2BC4" w:rsidRPr="0084485B">
        <w:rPr>
          <w:rFonts w:ascii="Times New Roman" w:hAnsi="Times New Roman" w:cs="Times New Roman"/>
        </w:rPr>
        <w:t xml:space="preserve"> This process </w:t>
      </w:r>
      <w:r w:rsidR="00CC133B" w:rsidRPr="0084485B">
        <w:rPr>
          <w:rFonts w:ascii="Times New Roman" w:hAnsi="Times New Roman" w:cs="Times New Roman"/>
        </w:rPr>
        <w:t xml:space="preserve">left us with an implied equity value per share of </w:t>
      </w:r>
      <w:r w:rsidR="0088665E" w:rsidRPr="0084485B">
        <w:rPr>
          <w:rFonts w:ascii="Times New Roman" w:hAnsi="Times New Roman" w:cs="Times New Roman"/>
        </w:rPr>
        <w:t xml:space="preserve">$95.11 </w:t>
      </w:r>
      <w:r w:rsidR="00980B06" w:rsidRPr="0084485B">
        <w:rPr>
          <w:rFonts w:ascii="Times New Roman" w:hAnsi="Times New Roman" w:cs="Times New Roman"/>
        </w:rPr>
        <w:t xml:space="preserve">based on a perpetuity growth model and </w:t>
      </w:r>
      <w:r w:rsidR="00045E88" w:rsidRPr="0084485B">
        <w:rPr>
          <w:rFonts w:ascii="Times New Roman" w:hAnsi="Times New Roman" w:cs="Times New Roman"/>
        </w:rPr>
        <w:t xml:space="preserve">$85.74 using the EBITDA x EV/EBITDA exit multiple. </w:t>
      </w:r>
    </w:p>
    <w:p w14:paraId="08B3665E" w14:textId="1B38D4BE" w:rsidR="00D17866" w:rsidRPr="0084485B" w:rsidRDefault="386DF10B" w:rsidP="6D484AD6">
      <w:pPr>
        <w:pStyle w:val="Heading2"/>
        <w:rPr>
          <w:rFonts w:ascii="Times New Roman" w:hAnsi="Times New Roman" w:cs="Times New Roman"/>
          <w:b w:val="0"/>
          <w:i w:val="0"/>
          <w:sz w:val="32"/>
          <w:szCs w:val="32"/>
        </w:rPr>
      </w:pPr>
      <w:r w:rsidRPr="0084485B">
        <w:rPr>
          <w:rFonts w:ascii="Times New Roman" w:hAnsi="Times New Roman" w:cs="Times New Roman"/>
        </w:rPr>
        <w:t>Assumptions</w:t>
      </w:r>
    </w:p>
    <w:p w14:paraId="0329E164" w14:textId="5DB359ED" w:rsidR="00D17866" w:rsidRPr="0084485B" w:rsidRDefault="7177309A" w:rsidP="6D484AD6">
      <w:pPr>
        <w:rPr>
          <w:rFonts w:ascii="Times New Roman" w:eastAsiaTheme="majorEastAsia" w:hAnsi="Times New Roman" w:cs="Times New Roman"/>
          <w:sz w:val="24"/>
          <w:szCs w:val="24"/>
        </w:rPr>
      </w:pPr>
      <w:r w:rsidRPr="0084485B">
        <w:rPr>
          <w:rFonts w:ascii="Times New Roman" w:hAnsi="Times New Roman" w:cs="Times New Roman"/>
        </w:rPr>
        <w:t xml:space="preserve">Our assumptions for the steps of revenue growth in the Molson Coors discounted cash flow model were made conservatively, blending the forecast for the industry with historical trends of the company and the challenges from the November 2025 earnings call. The 1.0% long-term annual growth rate assumes a cautious recovery in the mature beer sector, </w:t>
      </w:r>
      <w:r w:rsidR="1AD73575" w:rsidRPr="0084485B">
        <w:rPr>
          <w:rFonts w:ascii="Times New Roman" w:hAnsi="Times New Roman" w:cs="Times New Roman"/>
        </w:rPr>
        <w:t>amid</w:t>
      </w:r>
      <w:r w:rsidRPr="0084485B">
        <w:rPr>
          <w:rFonts w:ascii="Times New Roman" w:hAnsi="Times New Roman" w:cs="Times New Roman"/>
        </w:rPr>
        <w:t xml:space="preserve"> a projected 3-4% net sales decline for 2025, in line with analyst estimates of 0.4% annual growth</w:t>
      </w:r>
      <w:r w:rsidR="59E146D0" w:rsidRPr="0084485B">
        <w:rPr>
          <w:rFonts w:ascii="Times New Roman" w:hAnsi="Times New Roman" w:cs="Times New Roman"/>
        </w:rPr>
        <w:t xml:space="preserve"> (</w:t>
      </w:r>
      <w:r w:rsidRPr="0084485B">
        <w:rPr>
          <w:rFonts w:ascii="Times New Roman" w:hAnsi="Times New Roman" w:cs="Times New Roman"/>
        </w:rPr>
        <w:t>Simply Wall St</w:t>
      </w:r>
      <w:r w:rsidR="31920486" w:rsidRPr="0084485B">
        <w:rPr>
          <w:rFonts w:ascii="Times New Roman" w:hAnsi="Times New Roman" w:cs="Times New Roman"/>
        </w:rPr>
        <w:t>.)</w:t>
      </w:r>
      <w:r w:rsidRPr="0084485B">
        <w:rPr>
          <w:rFonts w:ascii="Times New Roman" w:hAnsi="Times New Roman" w:cs="Times New Roman"/>
        </w:rPr>
        <w:t xml:space="preserve">. </w:t>
      </w:r>
      <w:r w:rsidR="4DA51951" w:rsidRPr="0084485B">
        <w:rPr>
          <w:rFonts w:ascii="Times New Roman" w:hAnsi="Times New Roman" w:cs="Times New Roman"/>
        </w:rPr>
        <w:t>The</w:t>
      </w:r>
      <w:r w:rsidRPr="0084485B">
        <w:rPr>
          <w:rFonts w:ascii="Times New Roman" w:hAnsi="Times New Roman" w:cs="Times New Roman"/>
        </w:rPr>
        <w:t xml:space="preserve"> 9.36% revenue growth in 2023 </w:t>
      </w:r>
      <w:r w:rsidR="5FC1E50B" w:rsidRPr="0084485B">
        <w:rPr>
          <w:rFonts w:ascii="Times New Roman" w:hAnsi="Times New Roman" w:cs="Times New Roman"/>
        </w:rPr>
        <w:t>slowed</w:t>
      </w:r>
      <w:r w:rsidRPr="0084485B">
        <w:rPr>
          <w:rFonts w:ascii="Times New Roman" w:hAnsi="Times New Roman" w:cs="Times New Roman"/>
        </w:rPr>
        <w:t xml:space="preserve"> to a -0.64% decline in 2024, </w:t>
      </w:r>
      <w:r w:rsidR="003D0584" w:rsidRPr="0084485B">
        <w:rPr>
          <w:rFonts w:ascii="Times New Roman" w:hAnsi="Times New Roman" w:cs="Times New Roman"/>
        </w:rPr>
        <w:t>but due to</w:t>
      </w:r>
      <w:r w:rsidRPr="0084485B">
        <w:rPr>
          <w:rFonts w:ascii="Times New Roman" w:hAnsi="Times New Roman" w:cs="Times New Roman"/>
        </w:rPr>
        <w:t xml:space="preserve"> investments in brands like Peroni, </w:t>
      </w:r>
      <w:r w:rsidR="003D0584" w:rsidRPr="0084485B">
        <w:rPr>
          <w:rFonts w:ascii="Times New Roman" w:hAnsi="Times New Roman" w:cs="Times New Roman"/>
        </w:rPr>
        <w:t xml:space="preserve">which is </w:t>
      </w:r>
      <w:r w:rsidRPr="0084485B">
        <w:rPr>
          <w:rFonts w:ascii="Times New Roman" w:hAnsi="Times New Roman" w:cs="Times New Roman"/>
        </w:rPr>
        <w:t>up 25% in Q3 2025</w:t>
      </w:r>
      <w:r w:rsidR="003D0584" w:rsidRPr="0084485B">
        <w:rPr>
          <w:rFonts w:ascii="Times New Roman" w:hAnsi="Times New Roman" w:cs="Times New Roman"/>
        </w:rPr>
        <w:t xml:space="preserve">, a </w:t>
      </w:r>
      <w:r w:rsidRPr="0084485B">
        <w:rPr>
          <w:rFonts w:ascii="Times New Roman" w:hAnsi="Times New Roman" w:cs="Times New Roman"/>
        </w:rPr>
        <w:t xml:space="preserve">0.3% incremental ramp-up </w:t>
      </w:r>
      <w:r w:rsidR="00C8219A" w:rsidRPr="0084485B">
        <w:rPr>
          <w:rFonts w:ascii="Times New Roman" w:hAnsi="Times New Roman" w:cs="Times New Roman"/>
        </w:rPr>
        <w:t>is supported as</w:t>
      </w:r>
      <w:r w:rsidRPr="0084485B">
        <w:rPr>
          <w:rFonts w:ascii="Times New Roman" w:hAnsi="Times New Roman" w:cs="Times New Roman"/>
        </w:rPr>
        <w:t xml:space="preserve"> momentum </w:t>
      </w:r>
      <w:r w:rsidR="00C8219A" w:rsidRPr="0084485B">
        <w:rPr>
          <w:rFonts w:ascii="Times New Roman" w:hAnsi="Times New Roman" w:cs="Times New Roman"/>
        </w:rPr>
        <w:t>gradually builds.</w:t>
      </w:r>
    </w:p>
    <w:p w14:paraId="182726ED" w14:textId="168C0C4B" w:rsidR="00D17866" w:rsidRPr="0084485B" w:rsidRDefault="7177309A" w:rsidP="56FA00A7">
      <w:pPr>
        <w:ind w:firstLine="720"/>
        <w:rPr>
          <w:rFonts w:ascii="Times New Roman" w:hAnsi="Times New Roman" w:cs="Times New Roman"/>
        </w:rPr>
      </w:pPr>
      <w:r w:rsidRPr="0084485B">
        <w:rPr>
          <w:rFonts w:ascii="Times New Roman" w:hAnsi="Times New Roman" w:cs="Times New Roman"/>
        </w:rPr>
        <w:lastRenderedPageBreak/>
        <w:t>For COGS, we targeted 6</w:t>
      </w:r>
      <w:r w:rsidR="00301B17" w:rsidRPr="0084485B">
        <w:rPr>
          <w:rFonts w:ascii="Times New Roman" w:hAnsi="Times New Roman" w:cs="Times New Roman"/>
        </w:rPr>
        <w:t>1</w:t>
      </w:r>
      <w:r w:rsidRPr="0084485B">
        <w:rPr>
          <w:rFonts w:ascii="Times New Roman" w:hAnsi="Times New Roman" w:cs="Times New Roman"/>
        </w:rPr>
        <w:t>.</w:t>
      </w:r>
      <w:r w:rsidR="00301B17" w:rsidRPr="0084485B">
        <w:rPr>
          <w:rFonts w:ascii="Times New Roman" w:hAnsi="Times New Roman" w:cs="Times New Roman"/>
        </w:rPr>
        <w:t>5</w:t>
      </w:r>
      <w:r w:rsidRPr="0084485B">
        <w:rPr>
          <w:rFonts w:ascii="Times New Roman" w:hAnsi="Times New Roman" w:cs="Times New Roman"/>
        </w:rPr>
        <w:t xml:space="preserve">% </w:t>
      </w:r>
      <w:r w:rsidR="0861E87C" w:rsidRPr="0084485B">
        <w:rPr>
          <w:rFonts w:ascii="Times New Roman" w:hAnsi="Times New Roman" w:cs="Times New Roman"/>
        </w:rPr>
        <w:t xml:space="preserve">as a percentage of revenue </w:t>
      </w:r>
      <w:r w:rsidRPr="0084485B">
        <w:rPr>
          <w:rFonts w:ascii="Times New Roman" w:hAnsi="Times New Roman" w:cs="Times New Roman"/>
        </w:rPr>
        <w:t>long-term, implying a 38</w:t>
      </w:r>
      <w:r w:rsidR="00F04695" w:rsidRPr="0084485B">
        <w:rPr>
          <w:rFonts w:ascii="Times New Roman" w:hAnsi="Times New Roman" w:cs="Times New Roman"/>
        </w:rPr>
        <w:t>.5</w:t>
      </w:r>
      <w:r w:rsidRPr="0084485B">
        <w:rPr>
          <w:rFonts w:ascii="Times New Roman" w:hAnsi="Times New Roman" w:cs="Times New Roman"/>
        </w:rPr>
        <w:t xml:space="preserve">% gross margin consistent with brewers facing inflation, informed by Molson Coors' 38.5% projection for 2025 amid $40-55 million Midwest premium hikes. </w:t>
      </w:r>
      <w:r w:rsidR="00AC6406" w:rsidRPr="0084485B">
        <w:rPr>
          <w:rFonts w:ascii="Times New Roman" w:hAnsi="Times New Roman" w:cs="Times New Roman"/>
        </w:rPr>
        <w:t xml:space="preserve">COGS creeps </w:t>
      </w:r>
      <w:r w:rsidR="00F04695" w:rsidRPr="0084485B">
        <w:rPr>
          <w:rFonts w:ascii="Times New Roman" w:hAnsi="Times New Roman" w:cs="Times New Roman"/>
        </w:rPr>
        <w:t>downward</w:t>
      </w:r>
      <w:r w:rsidRPr="0084485B">
        <w:rPr>
          <w:rFonts w:ascii="Times New Roman" w:hAnsi="Times New Roman" w:cs="Times New Roman"/>
        </w:rPr>
        <w:t xml:space="preserve"> by 0.1%</w:t>
      </w:r>
      <w:r w:rsidR="27441658" w:rsidRPr="0084485B">
        <w:rPr>
          <w:rFonts w:ascii="Times New Roman" w:hAnsi="Times New Roman" w:cs="Times New Roman"/>
        </w:rPr>
        <w:t>,</w:t>
      </w:r>
      <w:r w:rsidRPr="0084485B">
        <w:rPr>
          <w:rFonts w:ascii="Times New Roman" w:hAnsi="Times New Roman" w:cs="Times New Roman"/>
        </w:rPr>
        <w:t xml:space="preserve"> accoun</w:t>
      </w:r>
      <w:r w:rsidR="177743A3" w:rsidRPr="0084485B">
        <w:rPr>
          <w:rFonts w:ascii="Times New Roman" w:hAnsi="Times New Roman" w:cs="Times New Roman"/>
        </w:rPr>
        <w:t>ting</w:t>
      </w:r>
      <w:r w:rsidRPr="0084485B">
        <w:rPr>
          <w:rFonts w:ascii="Times New Roman" w:hAnsi="Times New Roman" w:cs="Times New Roman"/>
        </w:rPr>
        <w:t xml:space="preserve"> for </w:t>
      </w:r>
      <w:r w:rsidR="00B27D7B" w:rsidRPr="0084485B">
        <w:rPr>
          <w:rFonts w:ascii="Times New Roman" w:hAnsi="Times New Roman" w:cs="Times New Roman"/>
        </w:rPr>
        <w:t>increased production e</w:t>
      </w:r>
      <w:r w:rsidR="00C82140" w:rsidRPr="0084485B">
        <w:rPr>
          <w:rFonts w:ascii="Times New Roman" w:hAnsi="Times New Roman" w:cs="Times New Roman"/>
        </w:rPr>
        <w:t>fficiency</w:t>
      </w:r>
      <w:r w:rsidR="009E7BDF" w:rsidRPr="0084485B">
        <w:rPr>
          <w:rFonts w:ascii="Times New Roman" w:hAnsi="Times New Roman" w:cs="Times New Roman"/>
        </w:rPr>
        <w:t>.</w:t>
      </w:r>
      <w:r w:rsidRPr="0084485B">
        <w:rPr>
          <w:rFonts w:ascii="Times New Roman" w:hAnsi="Times New Roman" w:cs="Times New Roman"/>
        </w:rPr>
        <w:t xml:space="preserve"> </w:t>
      </w:r>
      <w:r w:rsidR="009E7BDF" w:rsidRPr="0084485B">
        <w:rPr>
          <w:rFonts w:ascii="Times New Roman" w:hAnsi="Times New Roman" w:cs="Times New Roman"/>
        </w:rPr>
        <w:t>S</w:t>
      </w:r>
      <w:r w:rsidRPr="0084485B">
        <w:rPr>
          <w:rFonts w:ascii="Times New Roman" w:hAnsi="Times New Roman" w:cs="Times New Roman"/>
        </w:rPr>
        <w:t xml:space="preserve">imilarly, SG&amp;A </w:t>
      </w:r>
      <w:r w:rsidR="009E7BDF" w:rsidRPr="0084485B">
        <w:rPr>
          <w:rFonts w:ascii="Times New Roman" w:hAnsi="Times New Roman" w:cs="Times New Roman"/>
        </w:rPr>
        <w:t xml:space="preserve">was targeted </w:t>
      </w:r>
      <w:r w:rsidRPr="0084485B">
        <w:rPr>
          <w:rFonts w:ascii="Times New Roman" w:hAnsi="Times New Roman" w:cs="Times New Roman"/>
        </w:rPr>
        <w:t xml:space="preserve">at 21.8% with </w:t>
      </w:r>
      <w:r w:rsidR="009E7BDF" w:rsidRPr="0084485B">
        <w:rPr>
          <w:rFonts w:ascii="Times New Roman" w:hAnsi="Times New Roman" w:cs="Times New Roman"/>
        </w:rPr>
        <w:t xml:space="preserve">a </w:t>
      </w:r>
      <w:r w:rsidRPr="0084485B">
        <w:rPr>
          <w:rFonts w:ascii="Times New Roman" w:hAnsi="Times New Roman" w:cs="Times New Roman"/>
        </w:rPr>
        <w:t>0.0</w:t>
      </w:r>
      <w:r w:rsidR="002A07BE" w:rsidRPr="0084485B">
        <w:rPr>
          <w:rFonts w:ascii="Times New Roman" w:hAnsi="Times New Roman" w:cs="Times New Roman"/>
        </w:rPr>
        <w:t>25</w:t>
      </w:r>
      <w:r w:rsidRPr="0084485B">
        <w:rPr>
          <w:rFonts w:ascii="Times New Roman" w:hAnsi="Times New Roman" w:cs="Times New Roman"/>
        </w:rPr>
        <w:t xml:space="preserve">% </w:t>
      </w:r>
      <w:r w:rsidR="009E7BDF" w:rsidRPr="0084485B">
        <w:rPr>
          <w:rFonts w:ascii="Times New Roman" w:hAnsi="Times New Roman" w:cs="Times New Roman"/>
        </w:rPr>
        <w:t>downward</w:t>
      </w:r>
      <w:r w:rsidRPr="0084485B">
        <w:rPr>
          <w:rFonts w:ascii="Times New Roman" w:hAnsi="Times New Roman" w:cs="Times New Roman"/>
        </w:rPr>
        <w:t xml:space="preserve"> change</w:t>
      </w:r>
      <w:r w:rsidR="009E7BDF" w:rsidRPr="0084485B">
        <w:rPr>
          <w:rFonts w:ascii="Times New Roman" w:hAnsi="Times New Roman" w:cs="Times New Roman"/>
        </w:rPr>
        <w:t>,</w:t>
      </w:r>
      <w:r w:rsidRPr="0084485B">
        <w:rPr>
          <w:rFonts w:ascii="Times New Roman" w:hAnsi="Times New Roman" w:cs="Times New Roman"/>
        </w:rPr>
        <w:t xml:space="preserve"> emphasiz</w:t>
      </w:r>
      <w:r w:rsidR="009E7BDF" w:rsidRPr="0084485B">
        <w:rPr>
          <w:rFonts w:ascii="Times New Roman" w:hAnsi="Times New Roman" w:cs="Times New Roman"/>
        </w:rPr>
        <w:t>ing</w:t>
      </w:r>
      <w:r w:rsidRPr="0084485B">
        <w:rPr>
          <w:rFonts w:ascii="Times New Roman" w:hAnsi="Times New Roman" w:cs="Times New Roman"/>
        </w:rPr>
        <w:t xml:space="preserve"> </w:t>
      </w:r>
      <w:r w:rsidR="009E7BDF" w:rsidRPr="0084485B">
        <w:rPr>
          <w:rFonts w:ascii="Times New Roman" w:hAnsi="Times New Roman" w:cs="Times New Roman"/>
        </w:rPr>
        <w:t>TAP’s</w:t>
      </w:r>
      <w:r w:rsidRPr="0084485B">
        <w:rPr>
          <w:rFonts w:ascii="Times New Roman" w:hAnsi="Times New Roman" w:cs="Times New Roman"/>
        </w:rPr>
        <w:t xml:space="preserve"> cost discipline.</w:t>
      </w:r>
    </w:p>
    <w:p w14:paraId="4D594363" w14:textId="229A87F6" w:rsidR="00D17866" w:rsidRPr="0084485B" w:rsidRDefault="7177309A" w:rsidP="56FA00A7">
      <w:pPr>
        <w:ind w:firstLine="720"/>
        <w:rPr>
          <w:rFonts w:ascii="Times New Roman" w:hAnsi="Times New Roman" w:cs="Times New Roman"/>
        </w:rPr>
      </w:pPr>
      <w:r w:rsidRPr="0084485B">
        <w:rPr>
          <w:rFonts w:ascii="Times New Roman" w:hAnsi="Times New Roman" w:cs="Times New Roman"/>
        </w:rPr>
        <w:t>Depreciation and amortization as a percentage of capex normalize at 100.0% for steady-state maturity, common in manufacturing, with 1.3% step phasing adjustments post-2025 and $3.6 billion goodwill impairments. Capex targets 6.0% of revenue for efficiencies, aligned with peers like AB InBev at 5-7%, with a 0.1% ramp for gradual investments, maintaining $1.3 billion FCF guidance for 2025.</w:t>
      </w:r>
      <w:r w:rsidR="45C740B4" w:rsidRPr="0084485B">
        <w:rPr>
          <w:rFonts w:ascii="Times New Roman" w:hAnsi="Times New Roman" w:cs="Times New Roman"/>
        </w:rPr>
        <w:t xml:space="preserve"> Overall, these capex assumptions underscore a balanced approach to capital </w:t>
      </w:r>
      <w:r w:rsidR="00D95981" w:rsidRPr="0084485B">
        <w:rPr>
          <w:rFonts w:ascii="Times New Roman" w:hAnsi="Times New Roman" w:cs="Times New Roman"/>
        </w:rPr>
        <w:t>spending</w:t>
      </w:r>
      <w:r w:rsidR="45C740B4" w:rsidRPr="0084485B">
        <w:rPr>
          <w:rFonts w:ascii="Times New Roman" w:hAnsi="Times New Roman" w:cs="Times New Roman"/>
        </w:rPr>
        <w:t>, prioritizing long-term sustainability over short-term gains.</w:t>
      </w:r>
    </w:p>
    <w:p w14:paraId="2DA80F11" w14:textId="32463E95" w:rsidR="00B3668C" w:rsidRPr="0084485B" w:rsidRDefault="00B3668C" w:rsidP="56FA00A7">
      <w:pPr>
        <w:ind w:firstLine="720"/>
        <w:rPr>
          <w:rFonts w:ascii="Times New Roman" w:eastAsiaTheme="majorEastAsia" w:hAnsi="Times New Roman" w:cs="Times New Roman"/>
          <w:sz w:val="24"/>
          <w:szCs w:val="24"/>
        </w:rPr>
      </w:pPr>
      <w:r w:rsidRPr="0084485B">
        <w:rPr>
          <w:rFonts w:ascii="Times New Roman" w:hAnsi="Times New Roman" w:cs="Times New Roman"/>
        </w:rPr>
        <w:t xml:space="preserve">Lastly, Net working capital (NWC) is modeled as a negative percentage of sales, reflecting Molson Coors’ structural ability to operate with supplier leverage, efficient inventory management, and favorable payment terms common within large-scale beverage producers. </w:t>
      </w:r>
      <w:r w:rsidR="00482CAC" w:rsidRPr="0084485B">
        <w:rPr>
          <w:rFonts w:ascii="Times New Roman" w:hAnsi="Times New Roman" w:cs="Times New Roman"/>
        </w:rPr>
        <w:t xml:space="preserve">Our valuation assumes a </w:t>
      </w:r>
      <w:r w:rsidR="00265E19" w:rsidRPr="0084485B">
        <w:rPr>
          <w:rFonts w:ascii="Times New Roman" w:hAnsi="Times New Roman" w:cs="Times New Roman"/>
        </w:rPr>
        <w:t xml:space="preserve">target </w:t>
      </w:r>
      <w:r w:rsidR="008E0285" w:rsidRPr="0084485B">
        <w:rPr>
          <w:rFonts w:ascii="Times New Roman" w:hAnsi="Times New Roman" w:cs="Times New Roman"/>
        </w:rPr>
        <w:t>value of (9.8%</w:t>
      </w:r>
      <w:r w:rsidR="00B70792" w:rsidRPr="0084485B">
        <w:rPr>
          <w:rFonts w:ascii="Times New Roman" w:hAnsi="Times New Roman" w:cs="Times New Roman"/>
        </w:rPr>
        <w:t xml:space="preserve">) of sales over the forecast horizon </w:t>
      </w:r>
      <w:r w:rsidR="0035735C" w:rsidRPr="0084485B">
        <w:rPr>
          <w:rFonts w:ascii="Times New Roman" w:hAnsi="Times New Roman" w:cs="Times New Roman"/>
        </w:rPr>
        <w:t xml:space="preserve">with incremental </w:t>
      </w:r>
      <w:r w:rsidR="00501A76" w:rsidRPr="0084485B">
        <w:rPr>
          <w:rFonts w:ascii="Times New Roman" w:hAnsi="Times New Roman" w:cs="Times New Roman"/>
        </w:rPr>
        <w:t>de</w:t>
      </w:r>
      <w:r w:rsidR="0035735C" w:rsidRPr="0084485B">
        <w:rPr>
          <w:rFonts w:ascii="Times New Roman" w:hAnsi="Times New Roman" w:cs="Times New Roman"/>
        </w:rPr>
        <w:t xml:space="preserve">creases of </w:t>
      </w:r>
      <w:r w:rsidR="00222238" w:rsidRPr="0084485B">
        <w:rPr>
          <w:rFonts w:ascii="Times New Roman" w:hAnsi="Times New Roman" w:cs="Times New Roman"/>
        </w:rPr>
        <w:t>(0.1%)</w:t>
      </w:r>
      <w:r w:rsidR="00B07C42" w:rsidRPr="0084485B">
        <w:rPr>
          <w:rFonts w:ascii="Times New Roman" w:hAnsi="Times New Roman" w:cs="Times New Roman"/>
        </w:rPr>
        <w:t>.</w:t>
      </w:r>
      <w:r w:rsidR="006F18C6" w:rsidRPr="0084485B">
        <w:rPr>
          <w:rFonts w:ascii="Times New Roman" w:hAnsi="Times New Roman" w:cs="Times New Roman"/>
        </w:rPr>
        <w:t xml:space="preserve"> This assumption was created </w:t>
      </w:r>
      <w:r w:rsidR="009A278E" w:rsidRPr="0084485B">
        <w:rPr>
          <w:rFonts w:ascii="Times New Roman" w:hAnsi="Times New Roman" w:cs="Times New Roman"/>
        </w:rPr>
        <w:t>based on</w:t>
      </w:r>
      <w:r w:rsidR="006F18C6" w:rsidRPr="0084485B">
        <w:rPr>
          <w:rFonts w:ascii="Times New Roman" w:hAnsi="Times New Roman" w:cs="Times New Roman"/>
        </w:rPr>
        <w:t xml:space="preserve"> TAP’s </w:t>
      </w:r>
      <w:r w:rsidR="00FB5BD8" w:rsidRPr="0084485B">
        <w:rPr>
          <w:rFonts w:ascii="Times New Roman" w:hAnsi="Times New Roman" w:cs="Times New Roman"/>
        </w:rPr>
        <w:t xml:space="preserve">investments on supply chain and production efficiency </w:t>
      </w:r>
      <w:r w:rsidR="00300AAC" w:rsidRPr="0084485B">
        <w:rPr>
          <w:rFonts w:ascii="Times New Roman" w:hAnsi="Times New Roman" w:cs="Times New Roman"/>
        </w:rPr>
        <w:t xml:space="preserve">as well as the stabilizing effect </w:t>
      </w:r>
      <w:r w:rsidR="00A05F0D" w:rsidRPr="0084485B">
        <w:rPr>
          <w:rFonts w:ascii="Times New Roman" w:hAnsi="Times New Roman" w:cs="Times New Roman"/>
        </w:rPr>
        <w:t xml:space="preserve">of its distribution network. </w:t>
      </w:r>
      <w:r w:rsidR="006F18C6" w:rsidRPr="0084485B">
        <w:rPr>
          <w:rFonts w:ascii="Times New Roman" w:hAnsi="Times New Roman" w:cs="Times New Roman"/>
        </w:rPr>
        <w:t xml:space="preserve"> </w:t>
      </w:r>
    </w:p>
    <w:p w14:paraId="182B164A" w14:textId="6A6F5494" w:rsidR="00F6193A" w:rsidRPr="0084485B" w:rsidRDefault="00C31C6B" w:rsidP="6D484AD6">
      <w:pPr>
        <w:pStyle w:val="Heading2"/>
        <w:rPr>
          <w:rFonts w:ascii="Times New Roman" w:hAnsi="Times New Roman" w:cs="Times New Roman"/>
        </w:rPr>
      </w:pPr>
      <w:r w:rsidRPr="0084485B">
        <w:rPr>
          <w:rFonts w:ascii="Times New Roman" w:hAnsi="Times New Roman" w:cs="Times New Roman"/>
        </w:rPr>
        <w:t xml:space="preserve">Notes on </w:t>
      </w:r>
      <w:r w:rsidR="009E536A" w:rsidRPr="0084485B">
        <w:rPr>
          <w:rFonts w:ascii="Times New Roman" w:hAnsi="Times New Roman" w:cs="Times New Roman"/>
        </w:rPr>
        <w:t>Hardcode</w:t>
      </w:r>
      <w:r w:rsidR="00922E09" w:rsidRPr="0084485B">
        <w:rPr>
          <w:rFonts w:ascii="Times New Roman" w:hAnsi="Times New Roman" w:cs="Times New Roman"/>
        </w:rPr>
        <w:t>d Values for</w:t>
      </w:r>
      <w:r w:rsidR="00BA54DE" w:rsidRPr="0084485B">
        <w:rPr>
          <w:rFonts w:ascii="Times New Roman" w:hAnsi="Times New Roman" w:cs="Times New Roman"/>
        </w:rPr>
        <w:t xml:space="preserve"> In</w:t>
      </w:r>
      <w:r w:rsidR="006E3071" w:rsidRPr="0084485B">
        <w:rPr>
          <w:rFonts w:ascii="Times New Roman" w:hAnsi="Times New Roman" w:cs="Times New Roman"/>
        </w:rPr>
        <w:t xml:space="preserve">trinsic </w:t>
      </w:r>
      <w:r w:rsidR="00F6193A" w:rsidRPr="0084485B">
        <w:rPr>
          <w:rFonts w:ascii="Times New Roman" w:hAnsi="Times New Roman" w:cs="Times New Roman"/>
        </w:rPr>
        <w:t>DCF</w:t>
      </w:r>
    </w:p>
    <w:p w14:paraId="1D96C948" w14:textId="4BD73BC0" w:rsidR="004E74E4" w:rsidRPr="0084485B" w:rsidRDefault="00281ABB" w:rsidP="005856E6">
      <w:pPr>
        <w:pStyle w:val="ListParagraph"/>
        <w:numPr>
          <w:ilvl w:val="0"/>
          <w:numId w:val="12"/>
        </w:numPr>
        <w:spacing w:after="0"/>
        <w:rPr>
          <w:rFonts w:ascii="Times New Roman" w:hAnsi="Times New Roman" w:cs="Times New Roman"/>
        </w:rPr>
      </w:pPr>
      <w:r w:rsidRPr="0084485B">
        <w:rPr>
          <w:rFonts w:ascii="Times New Roman" w:hAnsi="Times New Roman" w:cs="Times New Roman"/>
          <w:b/>
        </w:rPr>
        <w:t xml:space="preserve">Terminal Growth Rate of </w:t>
      </w:r>
      <w:r w:rsidR="00ED41A7" w:rsidRPr="0084485B">
        <w:rPr>
          <w:rFonts w:ascii="Times New Roman" w:hAnsi="Times New Roman" w:cs="Times New Roman"/>
          <w:b/>
        </w:rPr>
        <w:t>1.5</w:t>
      </w:r>
      <w:r w:rsidR="00940D5E" w:rsidRPr="0084485B">
        <w:rPr>
          <w:rFonts w:ascii="Times New Roman" w:hAnsi="Times New Roman" w:cs="Times New Roman"/>
          <w:b/>
        </w:rPr>
        <w:t>%</w:t>
      </w:r>
      <w:r w:rsidR="00D8485D" w:rsidRPr="0084485B">
        <w:rPr>
          <w:rFonts w:ascii="Times New Roman" w:hAnsi="Times New Roman" w:cs="Times New Roman"/>
          <w:b/>
        </w:rPr>
        <w:t xml:space="preserve"> - </w:t>
      </w:r>
      <w:r w:rsidR="009A66F3" w:rsidRPr="0084485B">
        <w:rPr>
          <w:rFonts w:ascii="Times New Roman" w:hAnsi="Times New Roman" w:cs="Times New Roman"/>
        </w:rPr>
        <w:t>We chose a con</w:t>
      </w:r>
      <w:r w:rsidR="00AC6E08" w:rsidRPr="0084485B">
        <w:rPr>
          <w:rFonts w:ascii="Times New Roman" w:hAnsi="Times New Roman" w:cs="Times New Roman"/>
        </w:rPr>
        <w:t>se</w:t>
      </w:r>
      <w:r w:rsidR="00F45967" w:rsidRPr="0084485B">
        <w:rPr>
          <w:rFonts w:ascii="Times New Roman" w:hAnsi="Times New Roman" w:cs="Times New Roman"/>
        </w:rPr>
        <w:t xml:space="preserve">rvative growth rate for </w:t>
      </w:r>
      <w:r w:rsidR="00770984" w:rsidRPr="0084485B">
        <w:rPr>
          <w:rFonts w:ascii="Times New Roman" w:hAnsi="Times New Roman" w:cs="Times New Roman"/>
        </w:rPr>
        <w:t xml:space="preserve">Molson because </w:t>
      </w:r>
      <w:r w:rsidR="004D6F66" w:rsidRPr="0084485B">
        <w:rPr>
          <w:rFonts w:ascii="Times New Roman" w:hAnsi="Times New Roman" w:cs="Times New Roman"/>
        </w:rPr>
        <w:t xml:space="preserve">of </w:t>
      </w:r>
      <w:r w:rsidR="004A01DE" w:rsidRPr="0084485B">
        <w:rPr>
          <w:rFonts w:ascii="Times New Roman" w:hAnsi="Times New Roman" w:cs="Times New Roman"/>
        </w:rPr>
        <w:t>2 factors:</w:t>
      </w:r>
      <w:r w:rsidR="00DE14E6" w:rsidRPr="0084485B">
        <w:rPr>
          <w:rFonts w:ascii="Times New Roman" w:hAnsi="Times New Roman" w:cs="Times New Roman"/>
        </w:rPr>
        <w:t xml:space="preserve"> </w:t>
      </w:r>
      <w:r w:rsidR="00D3501D" w:rsidRPr="0084485B">
        <w:rPr>
          <w:rFonts w:ascii="Times New Roman" w:hAnsi="Times New Roman" w:cs="Times New Roman"/>
        </w:rPr>
        <w:t xml:space="preserve">The </w:t>
      </w:r>
      <w:r w:rsidR="001E1733" w:rsidRPr="0084485B">
        <w:rPr>
          <w:rFonts w:ascii="Times New Roman" w:hAnsi="Times New Roman" w:cs="Times New Roman"/>
        </w:rPr>
        <w:t xml:space="preserve">GDP </w:t>
      </w:r>
      <w:r w:rsidR="0014588D" w:rsidRPr="0084485B">
        <w:rPr>
          <w:rFonts w:ascii="Times New Roman" w:hAnsi="Times New Roman" w:cs="Times New Roman"/>
        </w:rPr>
        <w:t>growth rate is projected to stay around 3</w:t>
      </w:r>
      <w:r w:rsidR="00030504" w:rsidRPr="0084485B">
        <w:rPr>
          <w:rFonts w:ascii="Times New Roman" w:hAnsi="Times New Roman" w:cs="Times New Roman"/>
        </w:rPr>
        <w:t xml:space="preserve">% </w:t>
      </w:r>
      <w:r w:rsidR="007F6D34" w:rsidRPr="0084485B">
        <w:rPr>
          <w:rFonts w:ascii="Times New Roman" w:hAnsi="Times New Roman" w:cs="Times New Roman"/>
        </w:rPr>
        <w:t xml:space="preserve">in the </w:t>
      </w:r>
      <w:r w:rsidR="00B01309" w:rsidRPr="0084485B">
        <w:rPr>
          <w:rFonts w:ascii="Times New Roman" w:hAnsi="Times New Roman" w:cs="Times New Roman"/>
        </w:rPr>
        <w:t xml:space="preserve">coming 5 years, and </w:t>
      </w:r>
      <w:r w:rsidR="00CE78E4" w:rsidRPr="0084485B">
        <w:rPr>
          <w:rFonts w:ascii="Times New Roman" w:hAnsi="Times New Roman" w:cs="Times New Roman"/>
        </w:rPr>
        <w:t xml:space="preserve">the </w:t>
      </w:r>
      <w:r w:rsidR="003C1F40" w:rsidRPr="0084485B">
        <w:rPr>
          <w:rFonts w:ascii="Times New Roman" w:hAnsi="Times New Roman" w:cs="Times New Roman"/>
        </w:rPr>
        <w:t>alc</w:t>
      </w:r>
      <w:r w:rsidR="00F62E89" w:rsidRPr="0084485B">
        <w:rPr>
          <w:rFonts w:ascii="Times New Roman" w:hAnsi="Times New Roman" w:cs="Times New Roman"/>
        </w:rPr>
        <w:t>oholic beverage industry ha</w:t>
      </w:r>
      <w:r w:rsidR="00B3616A" w:rsidRPr="0084485B">
        <w:rPr>
          <w:rFonts w:ascii="Times New Roman" w:hAnsi="Times New Roman" w:cs="Times New Roman"/>
        </w:rPr>
        <w:t>s</w:t>
      </w:r>
      <w:r w:rsidR="00711E6A" w:rsidRPr="0084485B">
        <w:rPr>
          <w:rFonts w:ascii="Times New Roman" w:hAnsi="Times New Roman" w:cs="Times New Roman"/>
        </w:rPr>
        <w:t xml:space="preserve"> shown steady but </w:t>
      </w:r>
      <w:r w:rsidR="00D30BAF" w:rsidRPr="0084485B">
        <w:rPr>
          <w:rFonts w:ascii="Times New Roman" w:hAnsi="Times New Roman" w:cs="Times New Roman"/>
        </w:rPr>
        <w:t>min</w:t>
      </w:r>
      <w:r w:rsidR="005C6837" w:rsidRPr="0084485B">
        <w:rPr>
          <w:rFonts w:ascii="Times New Roman" w:hAnsi="Times New Roman" w:cs="Times New Roman"/>
        </w:rPr>
        <w:t xml:space="preserve">imal </w:t>
      </w:r>
      <w:r w:rsidR="00D763F2" w:rsidRPr="0084485B">
        <w:rPr>
          <w:rFonts w:ascii="Times New Roman" w:hAnsi="Times New Roman" w:cs="Times New Roman"/>
        </w:rPr>
        <w:t>growth since the COVID pandemic.</w:t>
      </w:r>
    </w:p>
    <w:p w14:paraId="1E06CCED" w14:textId="234C12C8" w:rsidR="00D763F2" w:rsidRPr="0084485B" w:rsidRDefault="00421878" w:rsidP="005856E6">
      <w:pPr>
        <w:pStyle w:val="ListParagraph"/>
        <w:numPr>
          <w:ilvl w:val="0"/>
          <w:numId w:val="12"/>
        </w:numPr>
        <w:spacing w:after="0"/>
        <w:rPr>
          <w:rFonts w:ascii="Times New Roman" w:hAnsi="Times New Roman" w:cs="Times New Roman"/>
        </w:rPr>
      </w:pPr>
      <w:r w:rsidRPr="0084485B">
        <w:rPr>
          <w:rFonts w:ascii="Times New Roman" w:hAnsi="Times New Roman" w:cs="Times New Roman"/>
          <w:b/>
        </w:rPr>
        <w:t>Terminal year EBITDA multiple</w:t>
      </w:r>
      <w:r w:rsidR="00F47402" w:rsidRPr="0084485B">
        <w:rPr>
          <w:rFonts w:ascii="Times New Roman" w:hAnsi="Times New Roman" w:cs="Times New Roman"/>
          <w:b/>
        </w:rPr>
        <w:t xml:space="preserve"> </w:t>
      </w:r>
      <w:r w:rsidR="004C0135" w:rsidRPr="0084485B">
        <w:rPr>
          <w:rFonts w:ascii="Times New Roman" w:hAnsi="Times New Roman" w:cs="Times New Roman"/>
          <w:b/>
        </w:rPr>
        <w:t xml:space="preserve">of </w:t>
      </w:r>
      <w:r w:rsidR="001D6DB1" w:rsidRPr="0084485B">
        <w:rPr>
          <w:rFonts w:ascii="Times New Roman" w:hAnsi="Times New Roman" w:cs="Times New Roman"/>
          <w:b/>
        </w:rPr>
        <w:t>11.3x</w:t>
      </w:r>
      <w:r w:rsidR="00926202" w:rsidRPr="0084485B">
        <w:rPr>
          <w:rFonts w:ascii="Times New Roman" w:hAnsi="Times New Roman" w:cs="Times New Roman"/>
          <w:b/>
        </w:rPr>
        <w:t xml:space="preserve"> </w:t>
      </w:r>
      <w:r w:rsidR="00964EEB" w:rsidRPr="0084485B">
        <w:rPr>
          <w:rFonts w:ascii="Times New Roman" w:hAnsi="Times New Roman" w:cs="Times New Roman"/>
          <w:b/>
        </w:rPr>
        <w:t>–</w:t>
      </w:r>
      <w:r w:rsidR="00926202" w:rsidRPr="0084485B">
        <w:rPr>
          <w:rFonts w:ascii="Times New Roman" w:hAnsi="Times New Roman" w:cs="Times New Roman"/>
          <w:b/>
        </w:rPr>
        <w:t xml:space="preserve"> </w:t>
      </w:r>
      <w:r w:rsidR="00C123C2" w:rsidRPr="0084485B">
        <w:rPr>
          <w:rFonts w:ascii="Times New Roman" w:hAnsi="Times New Roman" w:cs="Times New Roman"/>
        </w:rPr>
        <w:t>This value is derived from</w:t>
      </w:r>
      <w:r w:rsidR="00964EEB" w:rsidRPr="0084485B">
        <w:rPr>
          <w:rFonts w:ascii="Times New Roman" w:hAnsi="Times New Roman" w:cs="Times New Roman"/>
        </w:rPr>
        <w:t xml:space="preserve"> </w:t>
      </w:r>
      <w:r w:rsidR="00996A6A" w:rsidRPr="0084485B">
        <w:rPr>
          <w:rFonts w:ascii="Times New Roman" w:hAnsi="Times New Roman" w:cs="Times New Roman"/>
        </w:rPr>
        <w:t>C</w:t>
      </w:r>
      <w:r w:rsidR="006220FF" w:rsidRPr="0084485B">
        <w:rPr>
          <w:rFonts w:ascii="Times New Roman" w:hAnsi="Times New Roman" w:cs="Times New Roman"/>
        </w:rPr>
        <w:t xml:space="preserve">apital IQ, </w:t>
      </w:r>
      <w:r w:rsidR="00C123C2" w:rsidRPr="0084485B">
        <w:rPr>
          <w:rFonts w:ascii="Times New Roman" w:hAnsi="Times New Roman" w:cs="Times New Roman"/>
        </w:rPr>
        <w:t xml:space="preserve">and it is the </w:t>
      </w:r>
      <w:r w:rsidR="00362EB0" w:rsidRPr="0084485B">
        <w:rPr>
          <w:rFonts w:ascii="Times New Roman" w:hAnsi="Times New Roman" w:cs="Times New Roman"/>
        </w:rPr>
        <w:t xml:space="preserve">median </w:t>
      </w:r>
      <w:r w:rsidR="003E6E1C" w:rsidRPr="0084485B">
        <w:rPr>
          <w:rFonts w:ascii="Times New Roman" w:hAnsi="Times New Roman" w:cs="Times New Roman"/>
        </w:rPr>
        <w:t>TEV</w:t>
      </w:r>
      <w:r w:rsidR="00CC5790" w:rsidRPr="0084485B">
        <w:rPr>
          <w:rFonts w:ascii="Times New Roman" w:hAnsi="Times New Roman" w:cs="Times New Roman"/>
        </w:rPr>
        <w:t>/</w:t>
      </w:r>
      <w:r w:rsidR="00D85AC2" w:rsidRPr="0084485B">
        <w:rPr>
          <w:rFonts w:ascii="Times New Roman" w:hAnsi="Times New Roman" w:cs="Times New Roman"/>
        </w:rPr>
        <w:t xml:space="preserve">EBITDA </w:t>
      </w:r>
      <w:r w:rsidR="00E00298" w:rsidRPr="0084485B">
        <w:rPr>
          <w:rFonts w:ascii="Times New Roman" w:hAnsi="Times New Roman" w:cs="Times New Roman"/>
        </w:rPr>
        <w:t xml:space="preserve">for </w:t>
      </w:r>
      <w:r w:rsidR="005C5475" w:rsidRPr="0084485B">
        <w:rPr>
          <w:rFonts w:ascii="Times New Roman" w:hAnsi="Times New Roman" w:cs="Times New Roman"/>
        </w:rPr>
        <w:t>TAP</w:t>
      </w:r>
      <w:r w:rsidR="00740F1A" w:rsidRPr="0084485B">
        <w:rPr>
          <w:rFonts w:ascii="Times New Roman" w:hAnsi="Times New Roman" w:cs="Times New Roman"/>
        </w:rPr>
        <w:t xml:space="preserve">’s </w:t>
      </w:r>
      <w:r w:rsidR="00C7378C" w:rsidRPr="0084485B">
        <w:rPr>
          <w:rFonts w:ascii="Times New Roman" w:hAnsi="Times New Roman" w:cs="Times New Roman"/>
        </w:rPr>
        <w:t xml:space="preserve">industry peer </w:t>
      </w:r>
      <w:r w:rsidR="000361DF" w:rsidRPr="0084485B">
        <w:rPr>
          <w:rFonts w:ascii="Times New Roman" w:hAnsi="Times New Roman" w:cs="Times New Roman"/>
        </w:rPr>
        <w:t>average</w:t>
      </w:r>
      <w:r w:rsidR="0085774D" w:rsidRPr="0084485B">
        <w:rPr>
          <w:rFonts w:ascii="Times New Roman" w:hAnsi="Times New Roman" w:cs="Times New Roman"/>
        </w:rPr>
        <w:t>.</w:t>
      </w:r>
    </w:p>
    <w:p w14:paraId="162642D3" w14:textId="175A1009" w:rsidR="00226A84" w:rsidRPr="0084485B" w:rsidRDefault="00DD6DE4" w:rsidP="005856E6">
      <w:pPr>
        <w:pStyle w:val="ListParagraph"/>
        <w:numPr>
          <w:ilvl w:val="0"/>
          <w:numId w:val="12"/>
        </w:numPr>
        <w:spacing w:after="0"/>
        <w:rPr>
          <w:rFonts w:ascii="Times New Roman" w:hAnsi="Times New Roman" w:cs="Times New Roman"/>
        </w:rPr>
      </w:pPr>
      <w:r w:rsidRPr="0084485B">
        <w:rPr>
          <w:rFonts w:ascii="Times New Roman" w:hAnsi="Times New Roman" w:cs="Times New Roman"/>
          <w:b/>
        </w:rPr>
        <w:lastRenderedPageBreak/>
        <w:t>Basic Share Counts</w:t>
      </w:r>
      <w:r w:rsidR="006A6729" w:rsidRPr="0084485B">
        <w:rPr>
          <w:rFonts w:ascii="Times New Roman" w:hAnsi="Times New Roman" w:cs="Times New Roman"/>
          <w:b/>
        </w:rPr>
        <w:t xml:space="preserve"> – </w:t>
      </w:r>
      <w:r w:rsidR="006A6729" w:rsidRPr="0084485B">
        <w:rPr>
          <w:rFonts w:ascii="Times New Roman" w:hAnsi="Times New Roman" w:cs="Times New Roman"/>
        </w:rPr>
        <w:t xml:space="preserve">Found in their </w:t>
      </w:r>
      <w:r w:rsidR="00DB40E0" w:rsidRPr="0084485B">
        <w:rPr>
          <w:rFonts w:ascii="Times New Roman" w:hAnsi="Times New Roman" w:cs="Times New Roman"/>
        </w:rPr>
        <w:t xml:space="preserve">2024 </w:t>
      </w:r>
      <w:r w:rsidR="00615160" w:rsidRPr="0084485B">
        <w:rPr>
          <w:rFonts w:ascii="Times New Roman" w:hAnsi="Times New Roman" w:cs="Times New Roman"/>
        </w:rPr>
        <w:t>10</w:t>
      </w:r>
      <w:r w:rsidR="00BC5285" w:rsidRPr="0084485B">
        <w:rPr>
          <w:rFonts w:ascii="Times New Roman" w:hAnsi="Times New Roman" w:cs="Times New Roman"/>
        </w:rPr>
        <w:t xml:space="preserve">-K, no voting premium applied because </w:t>
      </w:r>
      <w:r w:rsidR="00D67E87" w:rsidRPr="0084485B">
        <w:rPr>
          <w:rFonts w:ascii="Times New Roman" w:hAnsi="Times New Roman" w:cs="Times New Roman"/>
        </w:rPr>
        <w:t>both Class A and Class B shares have</w:t>
      </w:r>
      <w:r w:rsidR="005A743F" w:rsidRPr="0084485B">
        <w:rPr>
          <w:rFonts w:ascii="Times New Roman" w:hAnsi="Times New Roman" w:cs="Times New Roman"/>
        </w:rPr>
        <w:t xml:space="preserve"> </w:t>
      </w:r>
      <w:r w:rsidR="00E02318" w:rsidRPr="0084485B">
        <w:rPr>
          <w:rFonts w:ascii="Times New Roman" w:hAnsi="Times New Roman" w:cs="Times New Roman"/>
        </w:rPr>
        <w:t>the same one</w:t>
      </w:r>
      <w:r w:rsidR="00B94D6A" w:rsidRPr="0084485B">
        <w:rPr>
          <w:rFonts w:ascii="Times New Roman" w:hAnsi="Times New Roman" w:cs="Times New Roman"/>
        </w:rPr>
        <w:t>-to-one voting rights</w:t>
      </w:r>
      <w:r w:rsidR="00AF788B" w:rsidRPr="0084485B">
        <w:rPr>
          <w:rFonts w:ascii="Times New Roman" w:hAnsi="Times New Roman" w:cs="Times New Roman"/>
        </w:rPr>
        <w:t>.</w:t>
      </w:r>
    </w:p>
    <w:p w14:paraId="6B695DA3" w14:textId="1B97E802" w:rsidR="006E5416" w:rsidRPr="0084485B" w:rsidRDefault="006E5416" w:rsidP="005856E6">
      <w:pPr>
        <w:pStyle w:val="ListParagraph"/>
        <w:numPr>
          <w:ilvl w:val="0"/>
          <w:numId w:val="12"/>
        </w:numPr>
        <w:spacing w:after="0"/>
        <w:rPr>
          <w:rFonts w:ascii="Times New Roman" w:hAnsi="Times New Roman" w:cs="Times New Roman"/>
        </w:rPr>
      </w:pPr>
      <w:r w:rsidRPr="0084485B">
        <w:rPr>
          <w:rFonts w:ascii="Times New Roman" w:hAnsi="Times New Roman" w:cs="Times New Roman"/>
          <w:b/>
        </w:rPr>
        <w:t xml:space="preserve">Exercise Price of </w:t>
      </w:r>
      <w:r w:rsidR="00CF6012" w:rsidRPr="0084485B">
        <w:rPr>
          <w:rFonts w:ascii="Times New Roman" w:hAnsi="Times New Roman" w:cs="Times New Roman"/>
          <w:b/>
        </w:rPr>
        <w:t>$</w:t>
      </w:r>
      <w:r w:rsidR="009E484E" w:rsidRPr="0084485B">
        <w:rPr>
          <w:rFonts w:ascii="Times New Roman" w:hAnsi="Times New Roman" w:cs="Times New Roman"/>
          <w:b/>
        </w:rPr>
        <w:t>59</w:t>
      </w:r>
      <w:r w:rsidR="001A229B" w:rsidRPr="0084485B">
        <w:rPr>
          <w:rFonts w:ascii="Times New Roman" w:hAnsi="Times New Roman" w:cs="Times New Roman"/>
          <w:b/>
        </w:rPr>
        <w:t>.39</w:t>
      </w:r>
      <w:r w:rsidR="00312AE2" w:rsidRPr="0084485B">
        <w:rPr>
          <w:rFonts w:ascii="Times New Roman" w:hAnsi="Times New Roman" w:cs="Times New Roman"/>
          <w:b/>
        </w:rPr>
        <w:t xml:space="preserve"> </w:t>
      </w:r>
      <w:r w:rsidR="00A9677E" w:rsidRPr="0084485B">
        <w:rPr>
          <w:rFonts w:ascii="Times New Roman" w:hAnsi="Times New Roman" w:cs="Times New Roman"/>
          <w:b/>
        </w:rPr>
        <w:t>–</w:t>
      </w:r>
      <w:r w:rsidR="00312AE2" w:rsidRPr="0084485B">
        <w:rPr>
          <w:rFonts w:ascii="Times New Roman" w:hAnsi="Times New Roman" w:cs="Times New Roman"/>
          <w:b/>
        </w:rPr>
        <w:t xml:space="preserve"> </w:t>
      </w:r>
      <w:r w:rsidR="00A9677E" w:rsidRPr="0084485B">
        <w:rPr>
          <w:rFonts w:ascii="Times New Roman" w:hAnsi="Times New Roman" w:cs="Times New Roman"/>
        </w:rPr>
        <w:t>Found in 2024 10-</w:t>
      </w:r>
      <w:r w:rsidR="005452E4" w:rsidRPr="0084485B">
        <w:rPr>
          <w:rFonts w:ascii="Times New Roman" w:hAnsi="Times New Roman" w:cs="Times New Roman"/>
        </w:rPr>
        <w:t xml:space="preserve">K, </w:t>
      </w:r>
      <w:r w:rsidR="00D67E87" w:rsidRPr="0084485B">
        <w:rPr>
          <w:rFonts w:ascii="Times New Roman" w:hAnsi="Times New Roman" w:cs="Times New Roman"/>
        </w:rPr>
        <w:t xml:space="preserve">this </w:t>
      </w:r>
      <w:r w:rsidR="005452E4" w:rsidRPr="0084485B">
        <w:rPr>
          <w:rFonts w:ascii="Times New Roman" w:hAnsi="Times New Roman" w:cs="Times New Roman"/>
        </w:rPr>
        <w:t>implies that non</w:t>
      </w:r>
      <w:r w:rsidR="00F758E0" w:rsidRPr="0084485B">
        <w:rPr>
          <w:rFonts w:ascii="Times New Roman" w:hAnsi="Times New Roman" w:cs="Times New Roman"/>
        </w:rPr>
        <w:t xml:space="preserve">e of the </w:t>
      </w:r>
      <w:r w:rsidR="00D30FE0" w:rsidRPr="0084485B">
        <w:rPr>
          <w:rFonts w:ascii="Times New Roman" w:hAnsi="Times New Roman" w:cs="Times New Roman"/>
        </w:rPr>
        <w:t xml:space="preserve">outstanding options are </w:t>
      </w:r>
      <w:r w:rsidR="00F8178E" w:rsidRPr="0084485B">
        <w:rPr>
          <w:rFonts w:ascii="Times New Roman" w:hAnsi="Times New Roman" w:cs="Times New Roman"/>
        </w:rPr>
        <w:t>“In</w:t>
      </w:r>
      <w:r w:rsidR="00353E4E" w:rsidRPr="0084485B">
        <w:rPr>
          <w:rFonts w:ascii="Times New Roman" w:hAnsi="Times New Roman" w:cs="Times New Roman"/>
        </w:rPr>
        <w:t>-the</w:t>
      </w:r>
      <w:r w:rsidR="00BF0DA6" w:rsidRPr="0084485B">
        <w:rPr>
          <w:rFonts w:ascii="Times New Roman" w:hAnsi="Times New Roman" w:cs="Times New Roman"/>
        </w:rPr>
        <w:t>-</w:t>
      </w:r>
      <w:r w:rsidR="00A4004F" w:rsidRPr="0084485B">
        <w:rPr>
          <w:rFonts w:ascii="Times New Roman" w:hAnsi="Times New Roman" w:cs="Times New Roman"/>
        </w:rPr>
        <w:t>Money</w:t>
      </w:r>
      <w:r w:rsidR="00C32E0F" w:rsidRPr="0084485B">
        <w:rPr>
          <w:rFonts w:ascii="Times New Roman" w:hAnsi="Times New Roman" w:cs="Times New Roman"/>
        </w:rPr>
        <w:t xml:space="preserve">” </w:t>
      </w:r>
      <w:r w:rsidR="00B52225" w:rsidRPr="0084485B">
        <w:rPr>
          <w:rFonts w:ascii="Times New Roman" w:hAnsi="Times New Roman" w:cs="Times New Roman"/>
        </w:rPr>
        <w:t xml:space="preserve">at the time of valuation since the </w:t>
      </w:r>
      <w:r w:rsidR="00484B97" w:rsidRPr="0084485B">
        <w:rPr>
          <w:rFonts w:ascii="Times New Roman" w:hAnsi="Times New Roman" w:cs="Times New Roman"/>
        </w:rPr>
        <w:t>share price</w:t>
      </w:r>
      <w:r w:rsidR="00B617D1" w:rsidRPr="0084485B">
        <w:rPr>
          <w:rFonts w:ascii="Times New Roman" w:hAnsi="Times New Roman" w:cs="Times New Roman"/>
        </w:rPr>
        <w:t xml:space="preserve"> </w:t>
      </w:r>
      <w:r w:rsidR="00EE0B15" w:rsidRPr="0084485B">
        <w:rPr>
          <w:rFonts w:ascii="Times New Roman" w:hAnsi="Times New Roman" w:cs="Times New Roman"/>
        </w:rPr>
        <w:t>stood at around $4</w:t>
      </w:r>
      <w:r w:rsidR="008B1427">
        <w:rPr>
          <w:rFonts w:ascii="Times New Roman" w:hAnsi="Times New Roman" w:cs="Times New Roman"/>
        </w:rPr>
        <w:t>5</w:t>
      </w:r>
      <w:r w:rsidR="00EE0B15" w:rsidRPr="0084485B">
        <w:rPr>
          <w:rFonts w:ascii="Times New Roman" w:hAnsi="Times New Roman" w:cs="Times New Roman"/>
        </w:rPr>
        <w:t xml:space="preserve">. </w:t>
      </w:r>
    </w:p>
    <w:p w14:paraId="60DCF8ED" w14:textId="264FCF95" w:rsidR="003F52F4" w:rsidRPr="0084485B" w:rsidRDefault="00920178" w:rsidP="005856E6">
      <w:pPr>
        <w:pStyle w:val="ListParagraph"/>
        <w:numPr>
          <w:ilvl w:val="0"/>
          <w:numId w:val="12"/>
        </w:numPr>
        <w:spacing w:after="0"/>
        <w:rPr>
          <w:rFonts w:ascii="Times New Roman" w:hAnsi="Times New Roman" w:cs="Times New Roman"/>
        </w:rPr>
      </w:pPr>
      <w:r w:rsidRPr="0084485B">
        <w:rPr>
          <w:rFonts w:ascii="Times New Roman" w:hAnsi="Times New Roman" w:cs="Times New Roman"/>
          <w:b/>
        </w:rPr>
        <w:t xml:space="preserve">Default Spread of </w:t>
      </w:r>
      <w:r w:rsidR="00492640" w:rsidRPr="0084485B">
        <w:rPr>
          <w:rFonts w:ascii="Times New Roman" w:hAnsi="Times New Roman" w:cs="Times New Roman"/>
          <w:b/>
        </w:rPr>
        <w:t>1.2</w:t>
      </w:r>
      <w:r w:rsidR="00B8151A" w:rsidRPr="0084485B">
        <w:rPr>
          <w:rFonts w:ascii="Times New Roman" w:hAnsi="Times New Roman" w:cs="Times New Roman"/>
          <w:b/>
        </w:rPr>
        <w:t xml:space="preserve">% - </w:t>
      </w:r>
      <w:r w:rsidR="00B8151A" w:rsidRPr="0084485B">
        <w:rPr>
          <w:rFonts w:ascii="Times New Roman" w:hAnsi="Times New Roman" w:cs="Times New Roman"/>
        </w:rPr>
        <w:t xml:space="preserve">Found </w:t>
      </w:r>
      <w:r w:rsidR="002110D7" w:rsidRPr="0084485B">
        <w:rPr>
          <w:rFonts w:ascii="Times New Roman" w:hAnsi="Times New Roman" w:cs="Times New Roman"/>
        </w:rPr>
        <w:t xml:space="preserve">from </w:t>
      </w:r>
      <w:r w:rsidR="006D3289" w:rsidRPr="0084485B">
        <w:rPr>
          <w:rFonts w:ascii="Times New Roman" w:hAnsi="Times New Roman" w:cs="Times New Roman"/>
        </w:rPr>
        <w:t xml:space="preserve">a </w:t>
      </w:r>
      <w:r w:rsidR="007146FF" w:rsidRPr="0084485B">
        <w:rPr>
          <w:rFonts w:ascii="Times New Roman" w:hAnsi="Times New Roman" w:cs="Times New Roman"/>
        </w:rPr>
        <w:t>combination of Capital I</w:t>
      </w:r>
      <w:r w:rsidR="000A026E" w:rsidRPr="0084485B">
        <w:rPr>
          <w:rFonts w:ascii="Times New Roman" w:hAnsi="Times New Roman" w:cs="Times New Roman"/>
        </w:rPr>
        <w:t xml:space="preserve">Q </w:t>
      </w:r>
      <w:r w:rsidR="00E90371" w:rsidRPr="0084485B">
        <w:rPr>
          <w:rFonts w:ascii="Times New Roman" w:hAnsi="Times New Roman" w:cs="Times New Roman"/>
          <w:i/>
        </w:rPr>
        <w:t>Credit Health Panel</w:t>
      </w:r>
      <w:r w:rsidR="001270F7" w:rsidRPr="0084485B">
        <w:rPr>
          <w:rFonts w:ascii="Times New Roman" w:hAnsi="Times New Roman" w:cs="Times New Roman"/>
          <w:i/>
        </w:rPr>
        <w:t xml:space="preserve"> </w:t>
      </w:r>
      <w:r w:rsidR="006D3289" w:rsidRPr="0084485B">
        <w:rPr>
          <w:rFonts w:ascii="Times New Roman" w:hAnsi="Times New Roman" w:cs="Times New Roman"/>
        </w:rPr>
        <w:t xml:space="preserve">with a </w:t>
      </w:r>
      <w:r w:rsidR="001270F7" w:rsidRPr="0084485B">
        <w:rPr>
          <w:rFonts w:ascii="Times New Roman" w:hAnsi="Times New Roman" w:cs="Times New Roman"/>
        </w:rPr>
        <w:t>sc</w:t>
      </w:r>
      <w:r w:rsidR="00F21514" w:rsidRPr="0084485B">
        <w:rPr>
          <w:rFonts w:ascii="Times New Roman" w:hAnsi="Times New Roman" w:cs="Times New Roman"/>
        </w:rPr>
        <w:t>ore</w:t>
      </w:r>
      <w:r w:rsidR="00945737" w:rsidRPr="0084485B">
        <w:rPr>
          <w:rFonts w:ascii="Times New Roman" w:hAnsi="Times New Roman" w:cs="Times New Roman"/>
        </w:rPr>
        <w:t xml:space="preserve"> of </w:t>
      </w:r>
      <w:r w:rsidR="0046594F" w:rsidRPr="0084485B">
        <w:rPr>
          <w:rFonts w:ascii="Times New Roman" w:hAnsi="Times New Roman" w:cs="Times New Roman"/>
        </w:rPr>
        <w:t>“</w:t>
      </w:r>
      <w:proofErr w:type="spellStart"/>
      <w:r w:rsidR="0046594F" w:rsidRPr="0084485B">
        <w:rPr>
          <w:rFonts w:ascii="Times New Roman" w:hAnsi="Times New Roman" w:cs="Times New Roman"/>
        </w:rPr>
        <w:t>bbb</w:t>
      </w:r>
      <w:proofErr w:type="spellEnd"/>
      <w:r w:rsidR="0046594F" w:rsidRPr="0084485B">
        <w:rPr>
          <w:rFonts w:ascii="Times New Roman" w:hAnsi="Times New Roman" w:cs="Times New Roman"/>
        </w:rPr>
        <w:t>”</w:t>
      </w:r>
      <w:r w:rsidR="00DB0DAD" w:rsidRPr="0084485B">
        <w:rPr>
          <w:rFonts w:ascii="Times New Roman" w:hAnsi="Times New Roman" w:cs="Times New Roman"/>
        </w:rPr>
        <w:t xml:space="preserve"> and Dam</w:t>
      </w:r>
      <w:r w:rsidR="00497844" w:rsidRPr="0084485B">
        <w:rPr>
          <w:rFonts w:ascii="Times New Roman" w:hAnsi="Times New Roman" w:cs="Times New Roman"/>
        </w:rPr>
        <w:t xml:space="preserve">odaran’s </w:t>
      </w:r>
      <w:r w:rsidR="003D635E" w:rsidRPr="0084485B">
        <w:rPr>
          <w:rFonts w:ascii="Times New Roman" w:hAnsi="Times New Roman" w:cs="Times New Roman"/>
          <w:i/>
        </w:rPr>
        <w:t xml:space="preserve">Interest Coverage Ratios </w:t>
      </w:r>
      <w:r w:rsidR="000E1A9D" w:rsidRPr="0084485B">
        <w:rPr>
          <w:rFonts w:ascii="Times New Roman" w:hAnsi="Times New Roman" w:cs="Times New Roman"/>
        </w:rPr>
        <w:t>“</w:t>
      </w:r>
      <w:r w:rsidR="003F43F7" w:rsidRPr="0084485B">
        <w:rPr>
          <w:rFonts w:ascii="Times New Roman" w:hAnsi="Times New Roman" w:cs="Times New Roman"/>
        </w:rPr>
        <w:t>For large non-financial service firms</w:t>
      </w:r>
      <w:r w:rsidR="00DC5A21" w:rsidRPr="0084485B">
        <w:rPr>
          <w:rFonts w:ascii="Times New Roman" w:hAnsi="Times New Roman" w:cs="Times New Roman"/>
        </w:rPr>
        <w:t>.”</w:t>
      </w:r>
    </w:p>
    <w:p w14:paraId="1C17B4AD" w14:textId="7458ABB7" w:rsidR="00DC5A21" w:rsidRPr="0084485B" w:rsidRDefault="000559C7" w:rsidP="005856E6">
      <w:pPr>
        <w:pStyle w:val="ListParagraph"/>
        <w:numPr>
          <w:ilvl w:val="0"/>
          <w:numId w:val="12"/>
        </w:numPr>
        <w:spacing w:after="0"/>
        <w:rPr>
          <w:rFonts w:ascii="Times New Roman" w:hAnsi="Times New Roman" w:cs="Times New Roman"/>
        </w:rPr>
      </w:pPr>
      <w:r w:rsidRPr="0084485B">
        <w:rPr>
          <w:rFonts w:ascii="Times New Roman" w:hAnsi="Times New Roman" w:cs="Times New Roman"/>
          <w:b/>
        </w:rPr>
        <w:t>Risk</w:t>
      </w:r>
      <w:r w:rsidR="00B54D3B" w:rsidRPr="0084485B">
        <w:rPr>
          <w:rFonts w:ascii="Times New Roman" w:hAnsi="Times New Roman" w:cs="Times New Roman"/>
          <w:b/>
        </w:rPr>
        <w:t>-</w:t>
      </w:r>
      <w:r w:rsidR="00862C10" w:rsidRPr="0084485B">
        <w:rPr>
          <w:rFonts w:ascii="Times New Roman" w:hAnsi="Times New Roman" w:cs="Times New Roman"/>
          <w:b/>
        </w:rPr>
        <w:t xml:space="preserve">Free Rate of </w:t>
      </w:r>
      <w:r w:rsidR="004D3D9E" w:rsidRPr="0084485B">
        <w:rPr>
          <w:rFonts w:ascii="Times New Roman" w:hAnsi="Times New Roman" w:cs="Times New Roman"/>
          <w:b/>
        </w:rPr>
        <w:t>4.1</w:t>
      </w:r>
      <w:r w:rsidR="00FA19DA" w:rsidRPr="0084485B">
        <w:rPr>
          <w:rFonts w:ascii="Times New Roman" w:hAnsi="Times New Roman" w:cs="Times New Roman"/>
          <w:b/>
        </w:rPr>
        <w:t>%</w:t>
      </w:r>
      <w:r w:rsidR="001107FC" w:rsidRPr="0084485B">
        <w:rPr>
          <w:rFonts w:ascii="Times New Roman" w:hAnsi="Times New Roman" w:cs="Times New Roman"/>
          <w:b/>
        </w:rPr>
        <w:t xml:space="preserve"> - </w:t>
      </w:r>
      <w:r w:rsidR="00735435" w:rsidRPr="0084485B">
        <w:rPr>
          <w:rFonts w:ascii="Times New Roman" w:hAnsi="Times New Roman" w:cs="Times New Roman"/>
        </w:rPr>
        <w:t xml:space="preserve">The US Treasury 10-year </w:t>
      </w:r>
      <w:r w:rsidR="005415C9" w:rsidRPr="0084485B">
        <w:rPr>
          <w:rFonts w:ascii="Times New Roman" w:hAnsi="Times New Roman" w:cs="Times New Roman"/>
        </w:rPr>
        <w:t xml:space="preserve">bond </w:t>
      </w:r>
      <w:r w:rsidR="00386C06" w:rsidRPr="0084485B">
        <w:rPr>
          <w:rFonts w:ascii="Times New Roman" w:hAnsi="Times New Roman" w:cs="Times New Roman"/>
        </w:rPr>
        <w:t xml:space="preserve">yield as of </w:t>
      </w:r>
      <w:r w:rsidR="00380D22" w:rsidRPr="0084485B">
        <w:rPr>
          <w:rFonts w:ascii="Times New Roman" w:hAnsi="Times New Roman" w:cs="Times New Roman"/>
        </w:rPr>
        <w:t>11/</w:t>
      </w:r>
      <w:r w:rsidR="00670D62" w:rsidRPr="0084485B">
        <w:rPr>
          <w:rFonts w:ascii="Times New Roman" w:hAnsi="Times New Roman" w:cs="Times New Roman"/>
        </w:rPr>
        <w:t>4</w:t>
      </w:r>
      <w:r w:rsidR="007A63C8" w:rsidRPr="0084485B">
        <w:rPr>
          <w:rFonts w:ascii="Times New Roman" w:hAnsi="Times New Roman" w:cs="Times New Roman"/>
        </w:rPr>
        <w:t>/</w:t>
      </w:r>
      <w:r w:rsidR="00FC63AD" w:rsidRPr="0084485B">
        <w:rPr>
          <w:rFonts w:ascii="Times New Roman" w:hAnsi="Times New Roman" w:cs="Times New Roman"/>
        </w:rPr>
        <w:t>25</w:t>
      </w:r>
      <w:r w:rsidR="0025723A" w:rsidRPr="0084485B">
        <w:rPr>
          <w:rFonts w:ascii="Times New Roman" w:hAnsi="Times New Roman" w:cs="Times New Roman"/>
        </w:rPr>
        <w:t>.</w:t>
      </w:r>
    </w:p>
    <w:p w14:paraId="5EE67CDF" w14:textId="4F238331" w:rsidR="0025723A" w:rsidRPr="0084485B" w:rsidRDefault="00500994" w:rsidP="00A22957">
      <w:pPr>
        <w:pStyle w:val="ListParagraph"/>
        <w:numPr>
          <w:ilvl w:val="0"/>
          <w:numId w:val="12"/>
        </w:numPr>
        <w:rPr>
          <w:rFonts w:ascii="Times New Roman" w:hAnsi="Times New Roman" w:cs="Times New Roman"/>
        </w:rPr>
      </w:pPr>
      <w:r w:rsidRPr="0084485B">
        <w:rPr>
          <w:rFonts w:ascii="Times New Roman" w:hAnsi="Times New Roman" w:cs="Times New Roman"/>
          <w:b/>
        </w:rPr>
        <w:t>Market Risk Premium (</w:t>
      </w:r>
      <w:r w:rsidR="009D14E0" w:rsidRPr="0084485B">
        <w:rPr>
          <w:rFonts w:ascii="Times New Roman" w:hAnsi="Times New Roman" w:cs="Times New Roman"/>
          <w:b/>
        </w:rPr>
        <w:t>Rm</w:t>
      </w:r>
      <w:r w:rsidR="003E1604" w:rsidRPr="0084485B">
        <w:rPr>
          <w:rFonts w:ascii="Times New Roman" w:hAnsi="Times New Roman" w:cs="Times New Roman"/>
          <w:b/>
        </w:rPr>
        <w:t xml:space="preserve"> </w:t>
      </w:r>
      <w:r w:rsidR="00E00A16" w:rsidRPr="0084485B">
        <w:rPr>
          <w:rFonts w:ascii="Times New Roman" w:hAnsi="Times New Roman" w:cs="Times New Roman"/>
          <w:b/>
        </w:rPr>
        <w:t>–</w:t>
      </w:r>
      <w:r w:rsidR="003E1604" w:rsidRPr="0084485B">
        <w:rPr>
          <w:rFonts w:ascii="Times New Roman" w:hAnsi="Times New Roman" w:cs="Times New Roman"/>
        </w:rPr>
        <w:t xml:space="preserve"> </w:t>
      </w:r>
      <w:r w:rsidR="000B2023" w:rsidRPr="0084485B">
        <w:rPr>
          <w:rFonts w:ascii="Times New Roman" w:hAnsi="Times New Roman" w:cs="Times New Roman"/>
          <w:b/>
        </w:rPr>
        <w:t>Rf</w:t>
      </w:r>
      <w:r w:rsidR="00E00A16" w:rsidRPr="0084485B">
        <w:rPr>
          <w:rFonts w:ascii="Times New Roman" w:hAnsi="Times New Roman" w:cs="Times New Roman"/>
          <w:b/>
        </w:rPr>
        <w:t>)</w:t>
      </w:r>
      <w:r w:rsidR="00C45143" w:rsidRPr="0084485B">
        <w:rPr>
          <w:rFonts w:ascii="Times New Roman" w:hAnsi="Times New Roman" w:cs="Times New Roman"/>
          <w:b/>
        </w:rPr>
        <w:t xml:space="preserve"> - </w:t>
      </w:r>
      <w:r w:rsidR="00CC7629" w:rsidRPr="0084485B">
        <w:rPr>
          <w:rFonts w:ascii="Times New Roman" w:hAnsi="Times New Roman" w:cs="Times New Roman"/>
        </w:rPr>
        <w:t xml:space="preserve">Implied ERP </w:t>
      </w:r>
      <w:r w:rsidR="00CB25B4" w:rsidRPr="0084485B">
        <w:rPr>
          <w:rFonts w:ascii="Times New Roman" w:hAnsi="Times New Roman" w:cs="Times New Roman"/>
        </w:rPr>
        <w:t xml:space="preserve">November </w:t>
      </w:r>
      <w:r w:rsidR="00DA6C8C" w:rsidRPr="0084485B">
        <w:rPr>
          <w:rFonts w:ascii="Times New Roman" w:hAnsi="Times New Roman" w:cs="Times New Roman"/>
        </w:rPr>
        <w:t>4 from Da</w:t>
      </w:r>
      <w:r w:rsidR="00BF3D88" w:rsidRPr="0084485B">
        <w:rPr>
          <w:rFonts w:ascii="Times New Roman" w:hAnsi="Times New Roman" w:cs="Times New Roman"/>
        </w:rPr>
        <w:t>modaran Home Page</w:t>
      </w:r>
      <w:r w:rsidR="00CC7629" w:rsidRPr="0084485B">
        <w:rPr>
          <w:rFonts w:ascii="Times New Roman" w:hAnsi="Times New Roman" w:cs="Times New Roman"/>
        </w:rPr>
        <w:t xml:space="preserve">, last </w:t>
      </w:r>
      <w:r w:rsidR="003A5E1E" w:rsidRPr="0084485B">
        <w:rPr>
          <w:rFonts w:ascii="Times New Roman" w:hAnsi="Times New Roman" w:cs="Times New Roman"/>
        </w:rPr>
        <w:t>10-year</w:t>
      </w:r>
      <w:r w:rsidR="00CC7629" w:rsidRPr="0084485B">
        <w:rPr>
          <w:rFonts w:ascii="Times New Roman" w:hAnsi="Times New Roman" w:cs="Times New Roman"/>
        </w:rPr>
        <w:t xml:space="preserve"> CF yield.</w:t>
      </w:r>
    </w:p>
    <w:p w14:paraId="3ADDCA80" w14:textId="2D466241" w:rsidR="006C0903" w:rsidRPr="0084485B" w:rsidRDefault="006C0903" w:rsidP="6D484AD6">
      <w:pPr>
        <w:pStyle w:val="ListParagraph"/>
        <w:numPr>
          <w:ilvl w:val="0"/>
          <w:numId w:val="12"/>
        </w:numPr>
        <w:rPr>
          <w:rFonts w:ascii="Times New Roman" w:hAnsi="Times New Roman" w:cs="Times New Roman"/>
        </w:rPr>
      </w:pPr>
      <w:r w:rsidRPr="0084485B">
        <w:rPr>
          <w:rFonts w:ascii="Times New Roman" w:hAnsi="Times New Roman" w:cs="Times New Roman"/>
          <w:b/>
        </w:rPr>
        <w:t>Bottom-Up Beta</w:t>
      </w:r>
      <w:r w:rsidR="00527345" w:rsidRPr="0084485B">
        <w:rPr>
          <w:rFonts w:ascii="Times New Roman" w:hAnsi="Times New Roman" w:cs="Times New Roman"/>
          <w:b/>
        </w:rPr>
        <w:t xml:space="preserve"> </w:t>
      </w:r>
      <w:r w:rsidR="00277AF5" w:rsidRPr="0084485B">
        <w:rPr>
          <w:rFonts w:ascii="Times New Roman" w:hAnsi="Times New Roman" w:cs="Times New Roman"/>
          <w:b/>
        </w:rPr>
        <w:t>–</w:t>
      </w:r>
      <w:r w:rsidR="00527345" w:rsidRPr="0084485B">
        <w:rPr>
          <w:rFonts w:ascii="Times New Roman" w:hAnsi="Times New Roman" w:cs="Times New Roman"/>
          <w:b/>
        </w:rPr>
        <w:t xml:space="preserve"> </w:t>
      </w:r>
      <w:r w:rsidR="00277AF5" w:rsidRPr="0084485B">
        <w:rPr>
          <w:rFonts w:ascii="Times New Roman" w:hAnsi="Times New Roman" w:cs="Times New Roman"/>
        </w:rPr>
        <w:t>All info</w:t>
      </w:r>
      <w:r w:rsidR="00126713" w:rsidRPr="0084485B">
        <w:rPr>
          <w:rFonts w:ascii="Times New Roman" w:hAnsi="Times New Roman" w:cs="Times New Roman"/>
        </w:rPr>
        <w:t>rmation found from Capital IQ</w:t>
      </w:r>
      <w:r w:rsidR="00E725D5" w:rsidRPr="0084485B">
        <w:rPr>
          <w:rFonts w:ascii="Times New Roman" w:hAnsi="Times New Roman" w:cs="Times New Roman"/>
        </w:rPr>
        <w:t xml:space="preserve">. </w:t>
      </w:r>
      <w:r w:rsidR="007E3AA2" w:rsidRPr="0084485B">
        <w:rPr>
          <w:rFonts w:ascii="Times New Roman" w:hAnsi="Times New Roman" w:cs="Times New Roman"/>
        </w:rPr>
        <w:t xml:space="preserve">Peer group </w:t>
      </w:r>
      <w:r w:rsidR="00366CAE" w:rsidRPr="0084485B">
        <w:rPr>
          <w:rFonts w:ascii="Times New Roman" w:hAnsi="Times New Roman" w:cs="Times New Roman"/>
        </w:rPr>
        <w:t xml:space="preserve">consists of similar companies </w:t>
      </w:r>
      <w:r w:rsidR="008E47FB" w:rsidRPr="0084485B">
        <w:rPr>
          <w:rFonts w:ascii="Times New Roman" w:hAnsi="Times New Roman" w:cs="Times New Roman"/>
        </w:rPr>
        <w:t xml:space="preserve">in the </w:t>
      </w:r>
      <w:r w:rsidR="000F2448" w:rsidRPr="0084485B">
        <w:rPr>
          <w:rFonts w:ascii="Times New Roman" w:hAnsi="Times New Roman" w:cs="Times New Roman"/>
        </w:rPr>
        <w:t>A</w:t>
      </w:r>
      <w:r w:rsidR="007504A5" w:rsidRPr="0084485B">
        <w:rPr>
          <w:rFonts w:ascii="Times New Roman" w:hAnsi="Times New Roman" w:cs="Times New Roman"/>
        </w:rPr>
        <w:t xml:space="preserve">lcoholic </w:t>
      </w:r>
      <w:r w:rsidR="00AA323B" w:rsidRPr="0084485B">
        <w:rPr>
          <w:rFonts w:ascii="Times New Roman" w:hAnsi="Times New Roman" w:cs="Times New Roman"/>
        </w:rPr>
        <w:t>Beverage Industry</w:t>
      </w:r>
      <w:r w:rsidR="007951C4" w:rsidRPr="0084485B">
        <w:rPr>
          <w:rFonts w:ascii="Times New Roman" w:hAnsi="Times New Roman" w:cs="Times New Roman"/>
        </w:rPr>
        <w:t xml:space="preserve"> </w:t>
      </w:r>
      <w:r w:rsidR="00C67060" w:rsidRPr="0084485B">
        <w:rPr>
          <w:rFonts w:ascii="Times New Roman" w:hAnsi="Times New Roman" w:cs="Times New Roman"/>
        </w:rPr>
        <w:t>both domestic and international</w:t>
      </w:r>
      <w:r w:rsidR="00A046DF" w:rsidRPr="0084485B">
        <w:rPr>
          <w:rFonts w:ascii="Times New Roman" w:hAnsi="Times New Roman" w:cs="Times New Roman"/>
        </w:rPr>
        <w:t>ly</w:t>
      </w:r>
      <w:r w:rsidR="00C67060" w:rsidRPr="0084485B">
        <w:rPr>
          <w:rFonts w:ascii="Times New Roman" w:hAnsi="Times New Roman" w:cs="Times New Roman"/>
        </w:rPr>
        <w:t xml:space="preserve">. </w:t>
      </w:r>
      <w:r w:rsidR="00285393" w:rsidRPr="0084485B">
        <w:rPr>
          <w:rFonts w:ascii="Times New Roman" w:hAnsi="Times New Roman" w:cs="Times New Roman"/>
        </w:rPr>
        <w:t xml:space="preserve">MV of Equity </w:t>
      </w:r>
      <w:r w:rsidR="009D5314" w:rsidRPr="0084485B">
        <w:rPr>
          <w:rFonts w:ascii="Times New Roman" w:hAnsi="Times New Roman" w:cs="Times New Roman"/>
        </w:rPr>
        <w:t xml:space="preserve">was their </w:t>
      </w:r>
      <w:r w:rsidR="009D5314" w:rsidRPr="0084485B">
        <w:rPr>
          <w:rFonts w:ascii="Times New Roman" w:hAnsi="Times New Roman" w:cs="Times New Roman"/>
          <w:i/>
        </w:rPr>
        <w:t>Market Cap</w:t>
      </w:r>
      <w:r w:rsidR="009D5314" w:rsidRPr="0084485B">
        <w:rPr>
          <w:rFonts w:ascii="Times New Roman" w:hAnsi="Times New Roman" w:cs="Times New Roman"/>
        </w:rPr>
        <w:t xml:space="preserve">, BV of Equity was </w:t>
      </w:r>
      <w:r w:rsidR="009D5314" w:rsidRPr="0084485B">
        <w:rPr>
          <w:rFonts w:ascii="Times New Roman" w:hAnsi="Times New Roman" w:cs="Times New Roman"/>
          <w:i/>
        </w:rPr>
        <w:t>T</w:t>
      </w:r>
      <w:r w:rsidR="008317B8" w:rsidRPr="0084485B">
        <w:rPr>
          <w:rFonts w:ascii="Times New Roman" w:hAnsi="Times New Roman" w:cs="Times New Roman"/>
          <w:i/>
        </w:rPr>
        <w:t xml:space="preserve">otal </w:t>
      </w:r>
      <w:r w:rsidR="00433E49" w:rsidRPr="0084485B">
        <w:rPr>
          <w:rFonts w:ascii="Times New Roman" w:hAnsi="Times New Roman" w:cs="Times New Roman"/>
          <w:i/>
        </w:rPr>
        <w:t>Debt</w:t>
      </w:r>
      <w:r w:rsidR="00433E49" w:rsidRPr="0084485B">
        <w:rPr>
          <w:rFonts w:ascii="Times New Roman" w:hAnsi="Times New Roman" w:cs="Times New Roman"/>
        </w:rPr>
        <w:t xml:space="preserve"> </w:t>
      </w:r>
      <w:r w:rsidR="001723FB" w:rsidRPr="0084485B">
        <w:rPr>
          <w:rFonts w:ascii="Times New Roman" w:hAnsi="Times New Roman" w:cs="Times New Roman"/>
        </w:rPr>
        <w:t xml:space="preserve">found in the </w:t>
      </w:r>
      <w:r w:rsidR="00953657" w:rsidRPr="0084485B">
        <w:rPr>
          <w:rFonts w:ascii="Times New Roman" w:hAnsi="Times New Roman" w:cs="Times New Roman"/>
          <w:i/>
        </w:rPr>
        <w:t>Key Stats</w:t>
      </w:r>
      <w:r w:rsidR="00953657" w:rsidRPr="0084485B">
        <w:rPr>
          <w:rFonts w:ascii="Times New Roman" w:hAnsi="Times New Roman" w:cs="Times New Roman"/>
        </w:rPr>
        <w:t xml:space="preserve"> </w:t>
      </w:r>
      <w:r w:rsidR="00E92E76" w:rsidRPr="0084485B">
        <w:rPr>
          <w:rFonts w:ascii="Times New Roman" w:hAnsi="Times New Roman" w:cs="Times New Roman"/>
        </w:rPr>
        <w:t>tab</w:t>
      </w:r>
      <w:r w:rsidR="005D2D90" w:rsidRPr="0084485B">
        <w:rPr>
          <w:rFonts w:ascii="Times New Roman" w:hAnsi="Times New Roman" w:cs="Times New Roman"/>
        </w:rPr>
        <w:t xml:space="preserve">. </w:t>
      </w:r>
      <w:r w:rsidR="00826ED5" w:rsidRPr="0084485B">
        <w:rPr>
          <w:rFonts w:ascii="Times New Roman" w:hAnsi="Times New Roman" w:cs="Times New Roman"/>
        </w:rPr>
        <w:t xml:space="preserve">Marginal </w:t>
      </w:r>
      <w:r w:rsidR="009551F8" w:rsidRPr="0084485B">
        <w:rPr>
          <w:rFonts w:ascii="Times New Roman" w:hAnsi="Times New Roman" w:cs="Times New Roman"/>
        </w:rPr>
        <w:t xml:space="preserve">Tax Rate is </w:t>
      </w:r>
      <w:r w:rsidR="00037300" w:rsidRPr="0084485B">
        <w:rPr>
          <w:rFonts w:ascii="Times New Roman" w:hAnsi="Times New Roman" w:cs="Times New Roman"/>
        </w:rPr>
        <w:t>cons</w:t>
      </w:r>
      <w:r w:rsidR="007A09E3" w:rsidRPr="0084485B">
        <w:rPr>
          <w:rFonts w:ascii="Times New Roman" w:hAnsi="Times New Roman" w:cs="Times New Roman"/>
        </w:rPr>
        <w:t xml:space="preserve">istent with </w:t>
      </w:r>
      <w:r w:rsidR="006A18A9" w:rsidRPr="0084485B">
        <w:rPr>
          <w:rFonts w:ascii="Times New Roman" w:hAnsi="Times New Roman" w:cs="Times New Roman"/>
        </w:rPr>
        <w:t xml:space="preserve">above values. </w:t>
      </w:r>
      <w:r w:rsidR="0013133A" w:rsidRPr="0084485B">
        <w:rPr>
          <w:rFonts w:ascii="Times New Roman" w:hAnsi="Times New Roman" w:cs="Times New Roman"/>
        </w:rPr>
        <w:t xml:space="preserve">Average Unlevered </w:t>
      </w:r>
      <w:r w:rsidR="000274F7" w:rsidRPr="0084485B">
        <w:rPr>
          <w:rFonts w:ascii="Times New Roman" w:hAnsi="Times New Roman" w:cs="Times New Roman"/>
        </w:rPr>
        <w:t>Beta (Full Industry) from Damo</w:t>
      </w:r>
      <w:r w:rsidR="00384DBA" w:rsidRPr="0084485B">
        <w:rPr>
          <w:rFonts w:ascii="Times New Roman" w:hAnsi="Times New Roman" w:cs="Times New Roman"/>
        </w:rPr>
        <w:t xml:space="preserve">daran, </w:t>
      </w:r>
      <w:r w:rsidR="00292049" w:rsidRPr="0084485B">
        <w:rPr>
          <w:rFonts w:ascii="Times New Roman" w:hAnsi="Times New Roman" w:cs="Times New Roman"/>
        </w:rPr>
        <w:t>Beverage (Alcoholic) in</w:t>
      </w:r>
      <w:r w:rsidR="004C1AD1" w:rsidRPr="0084485B">
        <w:rPr>
          <w:rFonts w:ascii="Times New Roman" w:hAnsi="Times New Roman" w:cs="Times New Roman"/>
        </w:rPr>
        <w:t xml:space="preserve">dustry. </w:t>
      </w:r>
    </w:p>
    <w:p w14:paraId="52C5A03B" w14:textId="5CCC4C15" w:rsidR="00E95037" w:rsidRPr="0084485B" w:rsidRDefault="00E95037" w:rsidP="00E95037">
      <w:pPr>
        <w:pStyle w:val="Heading2"/>
        <w:rPr>
          <w:rFonts w:ascii="Times New Roman" w:hAnsi="Times New Roman" w:cs="Times New Roman"/>
        </w:rPr>
      </w:pPr>
      <w:r w:rsidRPr="0084485B">
        <w:rPr>
          <w:rFonts w:ascii="Times New Roman" w:hAnsi="Times New Roman" w:cs="Times New Roman"/>
        </w:rPr>
        <w:t>Results from DCF</w:t>
      </w:r>
      <w:r w:rsidR="00067C7A" w:rsidRPr="0084485B">
        <w:rPr>
          <w:rFonts w:ascii="Times New Roman" w:hAnsi="Times New Roman" w:cs="Times New Roman"/>
        </w:rPr>
        <w:t xml:space="preserve"> Valuation</w:t>
      </w:r>
    </w:p>
    <w:p w14:paraId="4A596A68" w14:textId="1379CC62" w:rsidR="004C7FC3" w:rsidRPr="0084485B" w:rsidRDefault="004C7FC3" w:rsidP="004C7FC3">
      <w:pPr>
        <w:rPr>
          <w:rFonts w:ascii="Times New Roman" w:hAnsi="Times New Roman" w:cs="Times New Roman"/>
        </w:rPr>
      </w:pPr>
      <w:r w:rsidRPr="0084485B">
        <w:rPr>
          <w:rFonts w:ascii="Times New Roman" w:hAnsi="Times New Roman" w:cs="Times New Roman"/>
        </w:rPr>
        <w:t>Our DCF analysis produced an implied equity value range of $85.74–$95.11 per share, depending on the terminal value methodology applied. The valuation incorporates Molson Coors’ forecast</w:t>
      </w:r>
      <w:r w:rsidR="00F028E6" w:rsidRPr="0084485B">
        <w:rPr>
          <w:rFonts w:ascii="Times New Roman" w:hAnsi="Times New Roman" w:cs="Times New Roman"/>
        </w:rPr>
        <w:t>ed</w:t>
      </w:r>
      <w:r w:rsidR="00D6594D" w:rsidRPr="0084485B">
        <w:rPr>
          <w:rFonts w:ascii="Times New Roman" w:hAnsi="Times New Roman" w:cs="Times New Roman"/>
        </w:rPr>
        <w:t xml:space="preserve"> unlevered</w:t>
      </w:r>
      <w:r w:rsidRPr="0084485B">
        <w:rPr>
          <w:rFonts w:ascii="Times New Roman" w:hAnsi="Times New Roman" w:cs="Times New Roman"/>
        </w:rPr>
        <w:t xml:space="preserve"> free cash flows over the projection period, discounted at a weighted average cost of capital (WACC) consistent with industry risk and the company’s capital structure. The results indicate that </w:t>
      </w:r>
      <w:r w:rsidR="00AC660C" w:rsidRPr="0084485B">
        <w:rPr>
          <w:rFonts w:ascii="Times New Roman" w:hAnsi="Times New Roman" w:cs="Times New Roman"/>
        </w:rPr>
        <w:t>TAP</w:t>
      </w:r>
      <w:r w:rsidRPr="0084485B">
        <w:rPr>
          <w:rFonts w:ascii="Times New Roman" w:hAnsi="Times New Roman" w:cs="Times New Roman"/>
        </w:rPr>
        <w:t xml:space="preserve"> is meaningfully undervalued relative to its </w:t>
      </w:r>
      <w:r w:rsidR="004E6267" w:rsidRPr="0084485B">
        <w:rPr>
          <w:rFonts w:ascii="Times New Roman" w:hAnsi="Times New Roman" w:cs="Times New Roman"/>
        </w:rPr>
        <w:t xml:space="preserve">share price at the time of valuation being </w:t>
      </w:r>
      <w:r w:rsidR="008B1427">
        <w:rPr>
          <w:rFonts w:ascii="Times New Roman" w:hAnsi="Times New Roman" w:cs="Times New Roman"/>
        </w:rPr>
        <w:t>~$45</w:t>
      </w:r>
      <w:r w:rsidRPr="0084485B">
        <w:rPr>
          <w:rFonts w:ascii="Times New Roman" w:hAnsi="Times New Roman" w:cs="Times New Roman"/>
        </w:rPr>
        <w:t>.</w:t>
      </w:r>
    </w:p>
    <w:p w14:paraId="64954D6D" w14:textId="208E06B4" w:rsidR="004C7FC3" w:rsidRPr="0084485B" w:rsidRDefault="004C7FC3" w:rsidP="004C7FC3">
      <w:pPr>
        <w:rPr>
          <w:rFonts w:ascii="Times New Roman" w:hAnsi="Times New Roman" w:cs="Times New Roman"/>
        </w:rPr>
      </w:pPr>
      <w:r w:rsidRPr="0084485B">
        <w:rPr>
          <w:rFonts w:ascii="Times New Roman" w:hAnsi="Times New Roman" w:cs="Times New Roman"/>
        </w:rPr>
        <w:t>Although short-term challenges</w:t>
      </w:r>
      <w:r w:rsidR="00E17168" w:rsidRPr="0084485B">
        <w:rPr>
          <w:rFonts w:ascii="Times New Roman" w:hAnsi="Times New Roman" w:cs="Times New Roman"/>
        </w:rPr>
        <w:t xml:space="preserve"> </w:t>
      </w:r>
      <w:r w:rsidRPr="0084485B">
        <w:rPr>
          <w:rFonts w:ascii="Times New Roman" w:hAnsi="Times New Roman" w:cs="Times New Roman"/>
        </w:rPr>
        <w:t>including leadership transition uncertainty and volume softness</w:t>
      </w:r>
      <w:r w:rsidR="00E17168" w:rsidRPr="0084485B">
        <w:rPr>
          <w:rFonts w:ascii="Times New Roman" w:hAnsi="Times New Roman" w:cs="Times New Roman"/>
        </w:rPr>
        <w:t xml:space="preserve"> </w:t>
      </w:r>
      <w:r w:rsidRPr="0084485B">
        <w:rPr>
          <w:rFonts w:ascii="Times New Roman" w:hAnsi="Times New Roman" w:cs="Times New Roman"/>
        </w:rPr>
        <w:t xml:space="preserve">affect investor sentiment, these factors have a limited impact on long-term cash flow. </w:t>
      </w:r>
      <w:r w:rsidR="005277DF" w:rsidRPr="0084485B">
        <w:rPr>
          <w:rFonts w:ascii="Times New Roman" w:hAnsi="Times New Roman" w:cs="Times New Roman"/>
        </w:rPr>
        <w:t>Our</w:t>
      </w:r>
      <w:r w:rsidRPr="0084485B">
        <w:rPr>
          <w:rFonts w:ascii="Times New Roman" w:hAnsi="Times New Roman" w:cs="Times New Roman"/>
        </w:rPr>
        <w:t xml:space="preserve"> DCF framework </w:t>
      </w:r>
      <w:r w:rsidRPr="0084485B">
        <w:rPr>
          <w:rFonts w:ascii="Times New Roman" w:hAnsi="Times New Roman" w:cs="Times New Roman"/>
        </w:rPr>
        <w:lastRenderedPageBreak/>
        <w:t>highlights that Molson Coors remains a stable, cash-rich business with modest growth prospects and improving working-capital efficiency.</w:t>
      </w:r>
    </w:p>
    <w:p w14:paraId="48F109BD" w14:textId="4EC84A87" w:rsidR="00E95037" w:rsidRPr="0084485B" w:rsidRDefault="004C7FC3" w:rsidP="004C7FC3">
      <w:pPr>
        <w:rPr>
          <w:rFonts w:ascii="Times New Roman" w:hAnsi="Times New Roman" w:cs="Times New Roman"/>
        </w:rPr>
      </w:pPr>
      <w:r w:rsidRPr="0084485B">
        <w:rPr>
          <w:rFonts w:ascii="Times New Roman" w:hAnsi="Times New Roman" w:cs="Times New Roman"/>
        </w:rPr>
        <w:t>Overall, the DCF supports a fair value estimate in the range of $85–$95 per share, implying significant upside relative to current market conditions and reinforcing Molson Coors’ position as an undervalued beverage company with strong free-cash-flow fundamentals.</w:t>
      </w:r>
    </w:p>
    <w:p w14:paraId="6BBC16FD" w14:textId="5E0261DB" w:rsidR="16F0CCD3" w:rsidRPr="0084485B" w:rsidRDefault="16F0CCD3" w:rsidP="6D484AD6">
      <w:pPr>
        <w:pStyle w:val="Heading1"/>
        <w:rPr>
          <w:rFonts w:ascii="Times New Roman" w:hAnsi="Times New Roman" w:cs="Times New Roman"/>
        </w:rPr>
      </w:pPr>
      <w:r w:rsidRPr="0084485B">
        <w:rPr>
          <w:rFonts w:ascii="Times New Roman" w:hAnsi="Times New Roman" w:cs="Times New Roman"/>
        </w:rPr>
        <w:t xml:space="preserve">5. </w:t>
      </w:r>
      <w:r w:rsidR="709C3147" w:rsidRPr="0084485B">
        <w:rPr>
          <w:rFonts w:ascii="Times New Roman" w:hAnsi="Times New Roman" w:cs="Times New Roman"/>
        </w:rPr>
        <w:t>Relative Valuation</w:t>
      </w:r>
    </w:p>
    <w:p w14:paraId="3D0E9E8D" w14:textId="5E895738" w:rsidR="6F04A82A" w:rsidRPr="0084485B" w:rsidRDefault="6F04A82A" w:rsidP="6D484AD6">
      <w:pPr>
        <w:pStyle w:val="Heading2"/>
        <w:rPr>
          <w:rFonts w:ascii="Times New Roman" w:hAnsi="Times New Roman" w:cs="Times New Roman"/>
        </w:rPr>
      </w:pPr>
      <w:r w:rsidRPr="0084485B">
        <w:rPr>
          <w:rFonts w:ascii="Times New Roman" w:hAnsi="Times New Roman" w:cs="Times New Roman"/>
        </w:rPr>
        <w:t>Peer Comparables</w:t>
      </w:r>
    </w:p>
    <w:p w14:paraId="523DE835" w14:textId="424D5A7A" w:rsidR="072A3198" w:rsidRPr="0084485B" w:rsidRDefault="2573F211" w:rsidP="072A3198">
      <w:pPr>
        <w:rPr>
          <w:rFonts w:ascii="Times New Roman" w:hAnsi="Times New Roman" w:cs="Times New Roman"/>
        </w:rPr>
      </w:pPr>
      <w:r w:rsidRPr="0084485B">
        <w:rPr>
          <w:rFonts w:ascii="Times New Roman" w:hAnsi="Times New Roman" w:cs="Times New Roman"/>
        </w:rPr>
        <w:t xml:space="preserve">The selection of comparable businesses for the Molson Coors Beverage Company was based upon </w:t>
      </w:r>
      <w:r w:rsidR="00057E65" w:rsidRPr="0084485B">
        <w:rPr>
          <w:rFonts w:ascii="Times New Roman" w:hAnsi="Times New Roman" w:cs="Times New Roman"/>
        </w:rPr>
        <w:t>firms</w:t>
      </w:r>
      <w:r w:rsidRPr="0084485B">
        <w:rPr>
          <w:rFonts w:ascii="Times New Roman" w:hAnsi="Times New Roman" w:cs="Times New Roman"/>
        </w:rPr>
        <w:t xml:space="preserve"> that display similarities with Molson Coors regarding </w:t>
      </w:r>
      <w:r w:rsidR="00057E65" w:rsidRPr="0084485B">
        <w:rPr>
          <w:rFonts w:ascii="Times New Roman" w:hAnsi="Times New Roman" w:cs="Times New Roman"/>
        </w:rPr>
        <w:t>their</w:t>
      </w:r>
      <w:r w:rsidRPr="0084485B">
        <w:rPr>
          <w:rFonts w:ascii="Times New Roman" w:hAnsi="Times New Roman" w:cs="Times New Roman"/>
        </w:rPr>
        <w:t xml:space="preserve"> core business model and operational structure. </w:t>
      </w:r>
      <w:r w:rsidR="00057E65" w:rsidRPr="0084485B">
        <w:rPr>
          <w:rFonts w:ascii="Times New Roman" w:hAnsi="Times New Roman" w:cs="Times New Roman"/>
        </w:rPr>
        <w:t>Most</w:t>
      </w:r>
      <w:r w:rsidRPr="0084485B">
        <w:rPr>
          <w:rFonts w:ascii="Times New Roman" w:hAnsi="Times New Roman" w:cs="Times New Roman"/>
        </w:rPr>
        <w:t xml:space="preserve"> of Molson Coors’ profits come from its beer operations (85-90%) as opposed to spirits or wines. Therefore, any company that has a focus solely on spirits would be excluded from the final list of potential comparables (e.g., Diageo or Pernod Ricard) as would any company that holds portfolios dominated by wines that rely heavily on imported wines and/or Mexican beers that have very different profit margins and distribution costs. Thus, we looked to legacy brewing operations that operate physical brewing facilities producing high volumes (multi-millions of barrels) of beer and managing a fully owned or controlled distribution network versus companies using craft brewing or contract brewing arrangements. The result of this focus on bricks and mortar brewing operations with decades of established brand equity was the identification of large, multi-national and multi-regional producers of beer as being the best representation of a comparable set of companies to use for Molson Coors.</w:t>
      </w:r>
    </w:p>
    <w:p w14:paraId="2F7A8FB4" w14:textId="0024C222" w:rsidR="2573F211" w:rsidRPr="0084485B" w:rsidRDefault="2573F211" w:rsidP="0C623DDC">
      <w:pPr>
        <w:rPr>
          <w:rFonts w:ascii="Times New Roman" w:hAnsi="Times New Roman" w:cs="Times New Roman"/>
        </w:rPr>
      </w:pPr>
      <w:r w:rsidRPr="0084485B">
        <w:rPr>
          <w:rFonts w:ascii="Times New Roman" w:hAnsi="Times New Roman" w:cs="Times New Roman"/>
        </w:rPr>
        <w:t>The final peer group, which includes Anheuser-Busch InBev</w:t>
      </w:r>
      <w:r w:rsidR="77A30A23" w:rsidRPr="0084485B">
        <w:rPr>
          <w:rFonts w:ascii="Times New Roman" w:hAnsi="Times New Roman" w:cs="Times New Roman"/>
        </w:rPr>
        <w:t>,</w:t>
      </w:r>
      <w:r w:rsidRPr="0084485B">
        <w:rPr>
          <w:rFonts w:ascii="Times New Roman" w:hAnsi="Times New Roman" w:cs="Times New Roman"/>
        </w:rPr>
        <w:t xml:space="preserve"> Heineken Holding N.V.</w:t>
      </w:r>
      <w:r w:rsidR="09E9BA92" w:rsidRPr="0084485B">
        <w:rPr>
          <w:rFonts w:ascii="Times New Roman" w:hAnsi="Times New Roman" w:cs="Times New Roman"/>
        </w:rPr>
        <w:t>,</w:t>
      </w:r>
      <w:r w:rsidRPr="0084485B">
        <w:rPr>
          <w:rFonts w:ascii="Times New Roman" w:hAnsi="Times New Roman" w:cs="Times New Roman"/>
        </w:rPr>
        <w:t xml:space="preserve"> Carlsberg A/S.</w:t>
      </w:r>
      <w:r w:rsidR="3A7D8329" w:rsidRPr="0084485B">
        <w:rPr>
          <w:rFonts w:ascii="Times New Roman" w:hAnsi="Times New Roman" w:cs="Times New Roman"/>
        </w:rPr>
        <w:t>,</w:t>
      </w:r>
      <w:r w:rsidRPr="0084485B">
        <w:rPr>
          <w:rFonts w:ascii="Times New Roman" w:hAnsi="Times New Roman" w:cs="Times New Roman"/>
        </w:rPr>
        <w:t xml:space="preserve"> Asahi Group Holdings.</w:t>
      </w:r>
      <w:r w:rsidR="145EAFD8" w:rsidRPr="0084485B">
        <w:rPr>
          <w:rFonts w:ascii="Times New Roman" w:hAnsi="Times New Roman" w:cs="Times New Roman"/>
        </w:rPr>
        <w:t>,</w:t>
      </w:r>
      <w:r w:rsidRPr="0084485B">
        <w:rPr>
          <w:rFonts w:ascii="Times New Roman" w:hAnsi="Times New Roman" w:cs="Times New Roman"/>
        </w:rPr>
        <w:t xml:space="preserve"> Boston Beer Company</w:t>
      </w:r>
      <w:r w:rsidR="788A16BC" w:rsidRPr="0084485B">
        <w:rPr>
          <w:rFonts w:ascii="Times New Roman" w:hAnsi="Times New Roman" w:cs="Times New Roman"/>
        </w:rPr>
        <w:t>,</w:t>
      </w:r>
      <w:r w:rsidRPr="0084485B">
        <w:rPr>
          <w:rFonts w:ascii="Times New Roman" w:hAnsi="Times New Roman" w:cs="Times New Roman"/>
        </w:rPr>
        <w:t xml:space="preserve"> and Constellation Brands, provides the most suitable representations based on both business mix and size. The best global comparisons between the two companies would be with AB InBev and Heineken, both of which have similar types of portfolios </w:t>
      </w:r>
      <w:r w:rsidRPr="0084485B">
        <w:rPr>
          <w:rFonts w:ascii="Times New Roman" w:hAnsi="Times New Roman" w:cs="Times New Roman"/>
        </w:rPr>
        <w:lastRenderedPageBreak/>
        <w:t>and production capacity and extensive multi-continent distribution capabilities. Carlsberg and Asahi are both strong regional-to-global benchmarks in the beer industry and both companies have a very significant exposure to developing and developed beer markets. Although Boston Beer is the only other large publicly listed brewer in North America that has a similar size and craft/premium focus, it continues to be important to provide insight based on its size and portfolio. Constellation continues to be considered an important part of this analysis, even though it has a rapidly growing Mexican import business led by Modelo, as Constellation's Corona and Modelo compete against Coors Light and Miller Lite within the U.S. premium market segment and Constellation's North American beer EBITDA contribution is now considerably larger than its combined contribution from wine and spirits (roughly $350 million). Together they provide a balanced set of companies in terms of global scale (AB InBev; Heineken; Asahi), developed market focus (Carlsberg; Boston Beer; and the direct overlap with beer competition in North America) that provide a strong range of multiples (EV/EBITDA 11x - 19x) which adequately envelope Molson Coors' growth characteristics and present position.</w:t>
      </w:r>
    </w:p>
    <w:p w14:paraId="5FAA6F27" w14:textId="074D628F" w:rsidR="743E2DF5" w:rsidRPr="0084485B" w:rsidRDefault="743E2DF5" w:rsidP="19EA072A">
      <w:pPr>
        <w:pStyle w:val="Heading2"/>
        <w:rPr>
          <w:rFonts w:ascii="Times New Roman" w:hAnsi="Times New Roman" w:cs="Times New Roman"/>
        </w:rPr>
      </w:pPr>
      <w:r w:rsidRPr="0084485B">
        <w:rPr>
          <w:rFonts w:ascii="Times New Roman" w:hAnsi="Times New Roman" w:cs="Times New Roman"/>
        </w:rPr>
        <w:t>Multiples</w:t>
      </w:r>
    </w:p>
    <w:p w14:paraId="791526F1" w14:textId="4C59E72C" w:rsidR="19EA072A" w:rsidRPr="0084485B" w:rsidRDefault="4654A7AF" w:rsidP="19EA072A">
      <w:pPr>
        <w:rPr>
          <w:rFonts w:ascii="Times New Roman" w:hAnsi="Times New Roman" w:cs="Times New Roman"/>
        </w:rPr>
      </w:pPr>
      <w:r w:rsidRPr="0084485B">
        <w:rPr>
          <w:rFonts w:ascii="Times New Roman" w:hAnsi="Times New Roman" w:cs="Times New Roman"/>
        </w:rPr>
        <w:t xml:space="preserve">We chose </w:t>
      </w:r>
      <w:r w:rsidR="00057E65" w:rsidRPr="0084485B">
        <w:rPr>
          <w:rFonts w:ascii="Times New Roman" w:hAnsi="Times New Roman" w:cs="Times New Roman"/>
        </w:rPr>
        <w:t>several</w:t>
      </w:r>
      <w:r w:rsidRPr="0084485B">
        <w:rPr>
          <w:rFonts w:ascii="Times New Roman" w:hAnsi="Times New Roman" w:cs="Times New Roman"/>
        </w:rPr>
        <w:t xml:space="preserve"> multiples in our </w:t>
      </w:r>
      <w:r w:rsidR="2E48AFD5" w:rsidRPr="0084485B">
        <w:rPr>
          <w:rFonts w:ascii="Times New Roman" w:hAnsi="Times New Roman" w:cs="Times New Roman"/>
        </w:rPr>
        <w:t>r</w:t>
      </w:r>
      <w:r w:rsidRPr="0084485B">
        <w:rPr>
          <w:rFonts w:ascii="Times New Roman" w:hAnsi="Times New Roman" w:cs="Times New Roman"/>
        </w:rPr>
        <w:t xml:space="preserve">elative </w:t>
      </w:r>
      <w:r w:rsidR="3DCCC3EE" w:rsidRPr="0084485B">
        <w:rPr>
          <w:rFonts w:ascii="Times New Roman" w:hAnsi="Times New Roman" w:cs="Times New Roman"/>
        </w:rPr>
        <w:t>v</w:t>
      </w:r>
      <w:r w:rsidRPr="0084485B">
        <w:rPr>
          <w:rFonts w:ascii="Times New Roman" w:hAnsi="Times New Roman" w:cs="Times New Roman"/>
        </w:rPr>
        <w:t xml:space="preserve">aluation for Molson Coors that capture the economic realities of the global brewing industry, while also capturing at least some of the characteristics of a mature, capital intensive and dividend paying business. We prioritized EV/Sales over other metrics </w:t>
      </w:r>
      <w:r w:rsidR="00057E65" w:rsidRPr="0084485B">
        <w:rPr>
          <w:rFonts w:ascii="Times New Roman" w:hAnsi="Times New Roman" w:cs="Times New Roman"/>
        </w:rPr>
        <w:t>because</w:t>
      </w:r>
      <w:r w:rsidRPr="0084485B">
        <w:rPr>
          <w:rFonts w:ascii="Times New Roman" w:hAnsi="Times New Roman" w:cs="Times New Roman"/>
        </w:rPr>
        <w:t xml:space="preserve"> beer is a low margin, high volume industry where small fluctuations in raw material and/or distribution costs can significantly impact net income, whereas sales don’t fluctuate nearly as much (or at all)</w:t>
      </w:r>
      <w:r w:rsidR="0B4F4333" w:rsidRPr="0084485B">
        <w:rPr>
          <w:rFonts w:ascii="Times New Roman" w:hAnsi="Times New Roman" w:cs="Times New Roman"/>
        </w:rPr>
        <w:t>. T</w:t>
      </w:r>
      <w:r w:rsidRPr="0084485B">
        <w:rPr>
          <w:rFonts w:ascii="Times New Roman" w:hAnsi="Times New Roman" w:cs="Times New Roman"/>
        </w:rPr>
        <w:t xml:space="preserve">herefore, EV/Sales is a more stable and predictable comparables measure for brewing companies as it relates to period of commodity price shocks like the 2025 metals price shocks. In addition, the multiple EV/EBITDA was used because it is used as the foundation for the </w:t>
      </w:r>
      <w:r w:rsidR="3C377530" w:rsidRPr="0084485B">
        <w:rPr>
          <w:rFonts w:ascii="Times New Roman" w:hAnsi="Times New Roman" w:cs="Times New Roman"/>
        </w:rPr>
        <w:t>b</w:t>
      </w:r>
      <w:r w:rsidRPr="0084485B">
        <w:rPr>
          <w:rFonts w:ascii="Times New Roman" w:hAnsi="Times New Roman" w:cs="Times New Roman"/>
        </w:rPr>
        <w:t xml:space="preserve">everage &amp; </w:t>
      </w:r>
      <w:r w:rsidR="3F038C81" w:rsidRPr="0084485B">
        <w:rPr>
          <w:rFonts w:ascii="Times New Roman" w:hAnsi="Times New Roman" w:cs="Times New Roman"/>
        </w:rPr>
        <w:t>m</w:t>
      </w:r>
      <w:r w:rsidRPr="0084485B">
        <w:rPr>
          <w:rFonts w:ascii="Times New Roman" w:hAnsi="Times New Roman" w:cs="Times New Roman"/>
        </w:rPr>
        <w:t xml:space="preserve">anufacturing sectors, as it has the ability to eliminate differences in depreciation methods used by legacy brewers (who have significant operating brewery networks) and eliminate the effects of financing structures from the total enterprise value, thereby allowing for the cleanest approximation of a brewer's underlying cash </w:t>
      </w:r>
      <w:r w:rsidRPr="0084485B">
        <w:rPr>
          <w:rFonts w:ascii="Times New Roman" w:hAnsi="Times New Roman" w:cs="Times New Roman"/>
        </w:rPr>
        <w:lastRenderedPageBreak/>
        <w:t>generation. Finally, we also used EV/EBIT, because it provides an isolated measurement of a brewer's pure operating profits before the distorting effects of interest and taxes, which enables us to get an additional perspective on the operational efficiencies in comparison to our global peer group.</w:t>
      </w:r>
    </w:p>
    <w:p w14:paraId="5F48D0C2" w14:textId="6AEE521A" w:rsidR="51F3AE15" w:rsidRPr="0084485B" w:rsidRDefault="51F3AE15">
      <w:pPr>
        <w:rPr>
          <w:rFonts w:ascii="Times New Roman" w:hAnsi="Times New Roman" w:cs="Times New Roman"/>
        </w:rPr>
      </w:pPr>
      <w:r w:rsidRPr="0084485B">
        <w:rPr>
          <w:rFonts w:ascii="Times New Roman" w:hAnsi="Times New Roman" w:cs="Times New Roman"/>
        </w:rPr>
        <w:t>We captured each of the various expected rates of growth of the peers and normalized them against a wide range of projected EPS growth rates. We calculated a forward P/E to account for the fact that a company like Constellation Brands has forecasted high single-digit EPS growth and, conversely, other more established players such as Heineken and AB InBev may have low-to-mid single digits. The forward P/E is particularly relevant to Molson Coors' assessment as it is a high-dividend yield, staples, and trades on its ability to grow its earnings over time. Our use of the PEG ratio also enables us to normalize the growth expectations of each of the companies for their perceived future reinvestment opportunities and associated market expectations. Lastly, we included Price-to-Book as a margin of safety for evaluating relative value in an industry that has a high degree of fixed assets (breweries, distribution centers, and owned wholesaler networks), as well as a substantial amount of brand equity. Price-to-Book allows us to assess downside scenarios and evaluate whether the liquidation or replacement value of the company's hard assets would provide adequate protection against significant declines in the value of Molson Coors as a legacy brewery with a significant base of fixed assets in North America. The three multiples, therefore, provide an overall assessment of the relative value of Molson Coors across all dimensions of stability, cash flow, growth, earnings power, and asset protection.</w:t>
      </w:r>
    </w:p>
    <w:p w14:paraId="29E84AD6" w14:textId="2435C69A" w:rsidR="4AAF65A5" w:rsidRPr="0084485B" w:rsidRDefault="4AAF65A5" w:rsidP="279B0B27">
      <w:pPr>
        <w:pStyle w:val="Heading2"/>
        <w:rPr>
          <w:rFonts w:ascii="Times New Roman" w:hAnsi="Times New Roman" w:cs="Times New Roman"/>
        </w:rPr>
      </w:pPr>
      <w:r w:rsidRPr="0084485B">
        <w:rPr>
          <w:rFonts w:ascii="Times New Roman" w:hAnsi="Times New Roman" w:cs="Times New Roman"/>
        </w:rPr>
        <w:t>Results</w:t>
      </w:r>
      <w:r w:rsidR="00067C7A" w:rsidRPr="0084485B">
        <w:rPr>
          <w:rFonts w:ascii="Times New Roman" w:hAnsi="Times New Roman" w:cs="Times New Roman"/>
        </w:rPr>
        <w:t xml:space="preserve"> from Relative Valuation</w:t>
      </w:r>
    </w:p>
    <w:p w14:paraId="3CFF6AFC" w14:textId="0D47DF28" w:rsidR="008D0580" w:rsidRPr="0084485B" w:rsidRDefault="7EA63FE7" w:rsidP="279B0B27">
      <w:pPr>
        <w:rPr>
          <w:rFonts w:ascii="Times New Roman" w:hAnsi="Times New Roman" w:cs="Times New Roman"/>
        </w:rPr>
      </w:pPr>
      <w:r w:rsidRPr="0084485B">
        <w:rPr>
          <w:rFonts w:ascii="Times New Roman" w:hAnsi="Times New Roman" w:cs="Times New Roman"/>
        </w:rPr>
        <w:t xml:space="preserve">The relative valuation analysis we have conducted shows that there is a significant variation between the implied value of shares </w:t>
      </w:r>
      <w:r w:rsidR="005C6C7E" w:rsidRPr="0084485B">
        <w:rPr>
          <w:rFonts w:ascii="Times New Roman" w:hAnsi="Times New Roman" w:cs="Times New Roman"/>
        </w:rPr>
        <w:t xml:space="preserve">across the </w:t>
      </w:r>
      <w:r w:rsidR="008D0580" w:rsidRPr="0084485B">
        <w:rPr>
          <w:rFonts w:ascii="Times New Roman" w:hAnsi="Times New Roman" w:cs="Times New Roman"/>
        </w:rPr>
        <w:t>peer set</w:t>
      </w:r>
      <w:r w:rsidR="00057E65" w:rsidRPr="0084485B">
        <w:rPr>
          <w:rFonts w:ascii="Times New Roman" w:hAnsi="Times New Roman" w:cs="Times New Roman"/>
        </w:rPr>
        <w:t>.</w:t>
      </w:r>
      <w:r w:rsidR="00280B5B" w:rsidRPr="0084485B">
        <w:rPr>
          <w:rFonts w:ascii="Times New Roman" w:hAnsi="Times New Roman" w:cs="Times New Roman"/>
        </w:rPr>
        <w:t xml:space="preserve"> The most conservative multiples, specifically EV/EBIT and forward P/E/PEG, produce implied equity values in the $39–$48 per share range for Molson Coors. These lower valuations indicate that the market is pricing Molson Coors similarly to mature, slow-growth European brewers, suggesting expectations for limited volume growth and modest operating leverage going forward.</w:t>
      </w:r>
    </w:p>
    <w:p w14:paraId="155D7F03" w14:textId="6B17034D" w:rsidR="00280B5B" w:rsidRPr="0084485B" w:rsidRDefault="7EA63FE7" w:rsidP="279B0B27">
      <w:pPr>
        <w:rPr>
          <w:rFonts w:ascii="Times New Roman" w:hAnsi="Times New Roman" w:cs="Times New Roman"/>
        </w:rPr>
      </w:pPr>
      <w:r w:rsidRPr="0084485B">
        <w:rPr>
          <w:rFonts w:ascii="Times New Roman" w:hAnsi="Times New Roman" w:cs="Times New Roman"/>
        </w:rPr>
        <w:lastRenderedPageBreak/>
        <w:t xml:space="preserve"> </w:t>
      </w:r>
      <w:r w:rsidR="007C2C9E" w:rsidRPr="0084485B">
        <w:rPr>
          <w:rFonts w:ascii="Times New Roman" w:hAnsi="Times New Roman" w:cs="Times New Roman"/>
        </w:rPr>
        <w:t>At the opposite extreme, the EV/EBITDA methodology produces a very high implied valuation range, reaching $549.28 at the upper bound. This result is heavily influenced by Constellation Brands’ premium multiple, which reflects that company’s superior volume momentum, strong pricing power, and higher-growth import portfolio. Because this multiple is not representative of Molson Coors’ business mix or growth profile, the EV/EBITDA output is considered an outlier and is not relied upon in determining a credible valuation range.</w:t>
      </w:r>
    </w:p>
    <w:p w14:paraId="5F8CDEC0" w14:textId="4CC5C811" w:rsidR="007C2C9E" w:rsidRPr="0084485B" w:rsidRDefault="000D73FF" w:rsidP="279B0B27">
      <w:pPr>
        <w:rPr>
          <w:rFonts w:ascii="Times New Roman" w:hAnsi="Times New Roman" w:cs="Times New Roman"/>
        </w:rPr>
      </w:pPr>
      <w:r w:rsidRPr="0084485B">
        <w:rPr>
          <w:rFonts w:ascii="Times New Roman" w:hAnsi="Times New Roman" w:cs="Times New Roman"/>
        </w:rPr>
        <w:t>The more stable and economically relevant metrics—EV/Sales (1.9x–2.2x), central PEG estimates, and moderate forward P/E multiples—produce a set of implied valuations between approximately $77 and $100 per share. These results align more closely with Molson Coors’ actual operating fundamentals, including its steady free cash flow generation, modest long-term revenue growth, and improving working-capital efficiency. Price-to-book ratios, while yielding higher implied valuations (up to ~$153 per share), primarily reflect the replacement value of Molson Coors’ hard assets and are</w:t>
      </w:r>
      <w:r w:rsidR="005640D4" w:rsidRPr="0084485B">
        <w:rPr>
          <w:rFonts w:ascii="Times New Roman" w:hAnsi="Times New Roman" w:cs="Times New Roman"/>
        </w:rPr>
        <w:t>,</w:t>
      </w:r>
      <w:r w:rsidRPr="0084485B">
        <w:rPr>
          <w:rFonts w:ascii="Times New Roman" w:hAnsi="Times New Roman" w:cs="Times New Roman"/>
        </w:rPr>
        <w:t xml:space="preserve"> therefore</w:t>
      </w:r>
      <w:r w:rsidR="005640D4" w:rsidRPr="0084485B">
        <w:rPr>
          <w:rFonts w:ascii="Times New Roman" w:hAnsi="Times New Roman" w:cs="Times New Roman"/>
        </w:rPr>
        <w:t>,</w:t>
      </w:r>
      <w:r w:rsidRPr="0084485B">
        <w:rPr>
          <w:rFonts w:ascii="Times New Roman" w:hAnsi="Times New Roman" w:cs="Times New Roman"/>
        </w:rPr>
        <w:t xml:space="preserve"> less informative for </w:t>
      </w:r>
      <w:r w:rsidR="005640D4" w:rsidRPr="0084485B">
        <w:rPr>
          <w:rFonts w:ascii="Times New Roman" w:hAnsi="Times New Roman" w:cs="Times New Roman"/>
        </w:rPr>
        <w:t>short</w:t>
      </w:r>
      <w:r w:rsidRPr="0084485B">
        <w:rPr>
          <w:rFonts w:ascii="Times New Roman" w:hAnsi="Times New Roman" w:cs="Times New Roman"/>
        </w:rPr>
        <w:t>-term equity pricing.</w:t>
      </w:r>
    </w:p>
    <w:p w14:paraId="3B17D402" w14:textId="5A3A283B" w:rsidR="005640D4" w:rsidRPr="0084485B" w:rsidRDefault="00510DB6" w:rsidP="279B0B27">
      <w:pPr>
        <w:rPr>
          <w:rFonts w:ascii="Times New Roman" w:hAnsi="Times New Roman" w:cs="Times New Roman"/>
        </w:rPr>
      </w:pPr>
      <w:r w:rsidRPr="0084485B">
        <w:rPr>
          <w:rFonts w:ascii="Times New Roman" w:hAnsi="Times New Roman" w:cs="Times New Roman"/>
        </w:rPr>
        <w:t>All in all, the relative valuation supports a reasonable valuation range of approximately $75–$100 per share, with EV/Sales providing the strongest anchor for this estimate. This range is consistent with the intrinsic value indicated by our DCF analysis ($85–$95 per share).</w:t>
      </w:r>
    </w:p>
    <w:p w14:paraId="08B191E4" w14:textId="2AAEC7DC" w:rsidR="7AA19564" w:rsidRPr="0084485B" w:rsidRDefault="7AA19564" w:rsidP="6D484AD6">
      <w:pPr>
        <w:pStyle w:val="Heading1"/>
        <w:rPr>
          <w:rFonts w:ascii="Times New Roman" w:hAnsi="Times New Roman" w:cs="Times New Roman"/>
        </w:rPr>
      </w:pPr>
      <w:r w:rsidRPr="0084485B">
        <w:rPr>
          <w:rFonts w:ascii="Times New Roman" w:hAnsi="Times New Roman" w:cs="Times New Roman"/>
        </w:rPr>
        <w:t xml:space="preserve">6. </w:t>
      </w:r>
      <w:r w:rsidR="6F04A82A" w:rsidRPr="0084485B">
        <w:rPr>
          <w:rFonts w:ascii="Times New Roman" w:hAnsi="Times New Roman" w:cs="Times New Roman"/>
        </w:rPr>
        <w:t>Key Event Analysis</w:t>
      </w:r>
    </w:p>
    <w:p w14:paraId="57A4FCD1" w14:textId="1C83FD0F" w:rsidR="2A2C90B4" w:rsidRPr="0084485B" w:rsidRDefault="2A2C90B4" w:rsidP="6D484AD6">
      <w:pPr>
        <w:rPr>
          <w:rFonts w:ascii="Times New Roman" w:hAnsi="Times New Roman" w:cs="Times New Roman"/>
        </w:rPr>
      </w:pPr>
      <w:r w:rsidRPr="0084485B">
        <w:rPr>
          <w:rFonts w:ascii="Times New Roman" w:hAnsi="Times New Roman" w:cs="Times New Roman"/>
        </w:rPr>
        <w:t xml:space="preserve">In early 2025, </w:t>
      </w:r>
      <w:r w:rsidR="258840F9" w:rsidRPr="0084485B">
        <w:rPr>
          <w:rFonts w:ascii="Times New Roman" w:hAnsi="Times New Roman" w:cs="Times New Roman"/>
        </w:rPr>
        <w:t>there was a</w:t>
      </w:r>
      <w:r w:rsidRPr="0084485B">
        <w:rPr>
          <w:rFonts w:ascii="Times New Roman" w:hAnsi="Times New Roman" w:cs="Times New Roman"/>
        </w:rPr>
        <w:t xml:space="preserve"> significant external shock to Molson Coors' supply chain and financial forecasts</w:t>
      </w:r>
      <w:r w:rsidR="743F48C3" w:rsidRPr="0084485B">
        <w:rPr>
          <w:rFonts w:ascii="Times New Roman" w:hAnsi="Times New Roman" w:cs="Times New Roman"/>
        </w:rPr>
        <w:t xml:space="preserve"> which</w:t>
      </w:r>
      <w:r w:rsidRPr="0084485B">
        <w:rPr>
          <w:rFonts w:ascii="Times New Roman" w:hAnsi="Times New Roman" w:cs="Times New Roman"/>
        </w:rPr>
        <w:t xml:space="preserve"> came from increasing tariffs on aluminum imports by the United States. The tariffs were a major catalyst for changes to our forecast for COGS and our conservative assumptions about growth rates in the value perpetuity growth model. Ball Corporation, the main supplier of aluminum for our products, is located in Colorado and supplies cans to Molson Coors from its plant in Golden Colorado. Molson Coors is one of Ball Corporation's largest customers, along with other major beverage companies </w:t>
      </w:r>
      <w:r w:rsidRPr="0084485B">
        <w:rPr>
          <w:rFonts w:ascii="Times New Roman" w:hAnsi="Times New Roman" w:cs="Times New Roman"/>
        </w:rPr>
        <w:lastRenderedPageBreak/>
        <w:t xml:space="preserve">such as Coca-Cola and </w:t>
      </w:r>
      <w:r w:rsidR="4093A934" w:rsidRPr="0084485B">
        <w:rPr>
          <w:rFonts w:ascii="Times New Roman" w:hAnsi="Times New Roman" w:cs="Times New Roman"/>
        </w:rPr>
        <w:t>PepsiCo.</w:t>
      </w:r>
      <w:r w:rsidRPr="0084485B">
        <w:rPr>
          <w:rFonts w:ascii="Times New Roman" w:hAnsi="Times New Roman" w:cs="Times New Roman"/>
        </w:rPr>
        <w:t xml:space="preserve"> </w:t>
      </w:r>
      <w:r w:rsidR="2A310734" w:rsidRPr="0084485B">
        <w:rPr>
          <w:rFonts w:ascii="Times New Roman" w:hAnsi="Times New Roman" w:cs="Times New Roman"/>
        </w:rPr>
        <w:t>There is a</w:t>
      </w:r>
      <w:r w:rsidRPr="0084485B">
        <w:rPr>
          <w:rFonts w:ascii="Times New Roman" w:hAnsi="Times New Roman" w:cs="Times New Roman"/>
        </w:rPr>
        <w:t xml:space="preserve"> direct correlation between the U.S. tariffs and our cost of production, due to the increase in cost of raw materials. The tariffs on </w:t>
      </w:r>
      <w:r w:rsidR="008C1D8F" w:rsidRPr="0084485B">
        <w:rPr>
          <w:rFonts w:ascii="Times New Roman" w:hAnsi="Times New Roman" w:cs="Times New Roman"/>
        </w:rPr>
        <w:t>a</w:t>
      </w:r>
      <w:r w:rsidRPr="0084485B">
        <w:rPr>
          <w:rFonts w:ascii="Times New Roman" w:hAnsi="Times New Roman" w:cs="Times New Roman"/>
        </w:rPr>
        <w:t>luminum were imposed in March 2025, at 25%, for the importation of aluminum from Canada, which represents approximately 39% of the total supply of aluminum used in the U.S., thereby disrupting trade patterns in North America and pushing up prices of aluminum immediately.</w:t>
      </w:r>
    </w:p>
    <w:p w14:paraId="74540BB7" w14:textId="24650C96" w:rsidR="7FA96910" w:rsidRPr="0084485B" w:rsidRDefault="7FA96910" w:rsidP="6D484AD6">
      <w:pPr>
        <w:rPr>
          <w:rFonts w:ascii="Times New Roman" w:hAnsi="Times New Roman" w:cs="Times New Roman"/>
        </w:rPr>
      </w:pPr>
      <w:r w:rsidRPr="0084485B">
        <w:rPr>
          <w:rFonts w:ascii="Times New Roman" w:hAnsi="Times New Roman" w:cs="Times New Roman"/>
        </w:rPr>
        <w:t>The situation worsened through June 2025 when tariffs increased to 50%, causing the Midwest aluminum premium to rise dramatically from $0.21 per pound to $0.60 per pound; an increase of 190% over three months. This volatility is evident in the attached chart showing the timeline for the Midwest aluminum premium during the months of 2025. It shows an initial spike in prices during the spring months, a significant increase in price-level due to the escalating tariffs instituted in June and a gradual leveling off in price levels through the end of the year. However, price levels remained at approximately double the pre-tariff price level for this product category. This persistent inflation on Cost of Goods Sold (CGS) has created a need for implementing strategic price increases within the Molson Coors portfolio of products globally, with increases estimated at 3-4% as a means of protecting margin erosion while maintaining the integrity of the consumer base.</w:t>
      </w:r>
    </w:p>
    <w:p w14:paraId="39ABD3EB" w14:textId="4A8F772B" w:rsidR="7FA96910" w:rsidRPr="0084485B" w:rsidRDefault="7FA96910" w:rsidP="6D484AD6">
      <w:pPr>
        <w:rPr>
          <w:rFonts w:ascii="Times New Roman" w:hAnsi="Times New Roman" w:cs="Times New Roman"/>
        </w:rPr>
      </w:pPr>
      <w:r w:rsidRPr="0084485B">
        <w:rPr>
          <w:rFonts w:ascii="Times New Roman" w:hAnsi="Times New Roman" w:cs="Times New Roman"/>
        </w:rPr>
        <w:t>The residual effects of the tariffs will be reflected in our DCF valuation models as we conservatively adjusted COGS forecasted rates upward based on continued elevated pricing indices, as well as decreased terminal growth rates due to the increased uncertainty around input pricing. Although the graph indicates a potential plateau, continued escalation of geopolitics associated with aluminum imports will create more headwinds and lead us to remain vigilant in monitoring supplier negotiations with Ball Corp and seek out alternate sourcing opportunities. This event serves as a reminder of the vulnerability of our vertically integrated operations in Golden to international policy changes but also follows many years of building out our resiliency through multiple customers and adaptive pricing strategies.</w:t>
      </w:r>
    </w:p>
    <w:p w14:paraId="3B4E90E8" w14:textId="5A40EDD1" w:rsidR="17939AAC" w:rsidRPr="0084485B" w:rsidRDefault="17939AAC" w:rsidP="6D484AD6">
      <w:pPr>
        <w:pStyle w:val="Heading1"/>
        <w:rPr>
          <w:rFonts w:ascii="Times New Roman" w:hAnsi="Times New Roman" w:cs="Times New Roman"/>
        </w:rPr>
      </w:pPr>
      <w:r w:rsidRPr="0084485B">
        <w:rPr>
          <w:rFonts w:ascii="Times New Roman" w:hAnsi="Times New Roman" w:cs="Times New Roman"/>
        </w:rPr>
        <w:lastRenderedPageBreak/>
        <w:t>7. Management Discussion Analysis</w:t>
      </w:r>
    </w:p>
    <w:p w14:paraId="32C3F78C" w14:textId="78EBA835" w:rsidR="2E63FC98" w:rsidRPr="0084485B" w:rsidRDefault="4A3F66C8" w:rsidP="2E63FC98">
      <w:pPr>
        <w:rPr>
          <w:rFonts w:ascii="Times New Roman" w:hAnsi="Times New Roman" w:cs="Times New Roman"/>
        </w:rPr>
      </w:pPr>
      <w:r w:rsidRPr="0084485B">
        <w:rPr>
          <w:rFonts w:ascii="Times New Roman" w:hAnsi="Times New Roman" w:cs="Times New Roman"/>
        </w:rPr>
        <w:t xml:space="preserve">The following is an excerpt from </w:t>
      </w:r>
      <w:r w:rsidR="0E93BAC6" w:rsidRPr="0084485B">
        <w:rPr>
          <w:rFonts w:ascii="Times New Roman" w:hAnsi="Times New Roman" w:cs="Times New Roman"/>
        </w:rPr>
        <w:t>Molson Coors’s November 4</w:t>
      </w:r>
      <w:r w:rsidR="0E93BAC6" w:rsidRPr="0084485B">
        <w:rPr>
          <w:rFonts w:ascii="Times New Roman" w:hAnsi="Times New Roman" w:cs="Times New Roman"/>
          <w:vertAlign w:val="superscript"/>
        </w:rPr>
        <w:t>th</w:t>
      </w:r>
      <w:r w:rsidR="0E93BAC6" w:rsidRPr="0084485B">
        <w:rPr>
          <w:rFonts w:ascii="Times New Roman" w:hAnsi="Times New Roman" w:cs="Times New Roman"/>
        </w:rPr>
        <w:t xml:space="preserve">, 2025 10-Q </w:t>
      </w:r>
      <w:r w:rsidRPr="0084485B">
        <w:rPr>
          <w:rFonts w:ascii="Times New Roman" w:hAnsi="Times New Roman" w:cs="Times New Roman"/>
        </w:rPr>
        <w:t>filing: " On April 12, 2025, Gavin D.K. Hattersley, President and Chief Executive Officer ("CEO") of the Company and a member of the Board informed the Company and the Board that he intends to retire from the Company and as a member of the Board, in each case, by December 31, 2025." Under his leadership, Molson Coors has taken significant steps in expanding into beyond-beer categories, including flavored seltzers and all spirits. Although his departure will create uncertainty regarding how well the organization continues to implement its growth strategies, it has created a degree of confidence for the organization going forward. At the same time, however, there is considerable uncertainty surrounding the future of Molson Coors due to the Tariffs imposed on companies operating in Europe and Asia and competitive pressures that also exist in the Americas and EMEA and APAC regions, as well as continuing uncertainties regarding the tariffs on beer imported from Mexico and Central America to the Americas.</w:t>
      </w:r>
    </w:p>
    <w:p w14:paraId="6E505437" w14:textId="620B2E39" w:rsidR="3B91C169" w:rsidRPr="0084485B" w:rsidRDefault="3B91C169">
      <w:pPr>
        <w:rPr>
          <w:rFonts w:ascii="Times New Roman" w:hAnsi="Times New Roman" w:cs="Times New Roman"/>
        </w:rPr>
      </w:pPr>
      <w:r w:rsidRPr="0084485B">
        <w:rPr>
          <w:rFonts w:ascii="Times New Roman" w:hAnsi="Times New Roman" w:cs="Times New Roman"/>
        </w:rPr>
        <w:t>Our evaluation of the company has changed because of the impact of the change in CEO. We've had to reduce our short-term sales projections and increase our discount rate because the uncertainty surrounding execution during this time of leadership transition will cause us to take on more risk as investors.</w:t>
      </w:r>
      <w:r w:rsidR="743B64F5" w:rsidRPr="0084485B">
        <w:rPr>
          <w:rFonts w:ascii="Times New Roman" w:hAnsi="Times New Roman" w:cs="Times New Roman"/>
        </w:rPr>
        <w:t xml:space="preserve"> </w:t>
      </w:r>
      <w:r w:rsidRPr="0084485B">
        <w:rPr>
          <w:rFonts w:ascii="Times New Roman" w:hAnsi="Times New Roman" w:cs="Times New Roman"/>
        </w:rPr>
        <w:t xml:space="preserve">Under Mr. Hattersley, we were able to model continued steady growth rates for flagship products like Coors Light and Molson Canadian, based on continued premiumization and continued broadening of the brand portfolio. Now, we have to be more conservative. The leadership transition will in itself create challenges. New leaders will have their own learning curves; our strategic initiatives, such as our supply chain improvement initiative and our capital allocation strategy, must remain on track. We will also be monitoring key supplier relationships, especially with Ball Corp, where if there is a disruption in those negotiations, it could extend the timing of the recovery of margin; particularly while the company continues to deal with tariff pressures. We are currently estimating approximately $15 - 20 million in transition-related expenses in 2026, including fees associated with executive search firms, onboarding expenses for newly hired executives and retention packages offered to key employees to retain them </w:t>
      </w:r>
      <w:r w:rsidRPr="0084485B">
        <w:rPr>
          <w:rFonts w:ascii="Times New Roman" w:hAnsi="Times New Roman" w:cs="Times New Roman"/>
        </w:rPr>
        <w:lastRenderedPageBreak/>
        <w:t xml:space="preserve">during this transition. This will impact free cash flow and reduce the estimated current value of this forecast period by approximately 4%. </w:t>
      </w:r>
      <w:r w:rsidR="51DD62CA" w:rsidRPr="0084485B">
        <w:rPr>
          <w:rFonts w:ascii="Times New Roman" w:hAnsi="Times New Roman" w:cs="Times New Roman"/>
        </w:rPr>
        <w:t>T</w:t>
      </w:r>
      <w:r w:rsidRPr="0084485B">
        <w:rPr>
          <w:rFonts w:ascii="Times New Roman" w:hAnsi="Times New Roman" w:cs="Times New Roman"/>
        </w:rPr>
        <w:t>hese estimates represent real costs and will factor into the valuation of the company.</w:t>
      </w:r>
    </w:p>
    <w:p w14:paraId="43217D9D" w14:textId="0E2C5E3F" w:rsidR="3B91C169" w:rsidRPr="0084485B" w:rsidRDefault="3B91C169" w:rsidP="12C94B11">
      <w:pPr>
        <w:rPr>
          <w:rFonts w:ascii="Times New Roman" w:hAnsi="Times New Roman" w:cs="Times New Roman"/>
        </w:rPr>
      </w:pPr>
      <w:r w:rsidRPr="0084485B">
        <w:rPr>
          <w:rFonts w:ascii="Times New Roman" w:hAnsi="Times New Roman" w:cs="Times New Roman"/>
        </w:rPr>
        <w:t>With the recent succession, our long-term assumptions will also change. The scope of our perpetual growth rate has been lowered from 3% to 2.5% because of uncertainty regarding future leadership, which we believe is warranted, but on the conservative side, given the current macroeconomic environment. Given the current volatility resulting from trade policy and external factors as noted in the 10-Q filing, the uncertainty due to a change in leadership creates an additional level of risk.</w:t>
      </w:r>
      <w:r w:rsidR="33BE24FD" w:rsidRPr="0084485B">
        <w:rPr>
          <w:rFonts w:ascii="Times New Roman" w:hAnsi="Times New Roman" w:cs="Times New Roman"/>
        </w:rPr>
        <w:t xml:space="preserve"> </w:t>
      </w:r>
      <w:r w:rsidRPr="0084485B">
        <w:rPr>
          <w:rFonts w:ascii="Times New Roman" w:hAnsi="Times New Roman" w:cs="Times New Roman"/>
        </w:rPr>
        <w:t xml:space="preserve">We have </w:t>
      </w:r>
      <w:r w:rsidR="00260297" w:rsidRPr="0084485B">
        <w:rPr>
          <w:rFonts w:ascii="Times New Roman" w:hAnsi="Times New Roman" w:cs="Times New Roman"/>
        </w:rPr>
        <w:t>looked</w:t>
      </w:r>
      <w:r w:rsidRPr="0084485B">
        <w:rPr>
          <w:rFonts w:ascii="Times New Roman" w:hAnsi="Times New Roman" w:cs="Times New Roman"/>
        </w:rPr>
        <w:t xml:space="preserve"> at other instances in the market for examples of how these types of events impact a company. Based on past experience, when Anheuser-Busch InBev had a leadership change their multiples temporarily decreased. We based this analysis on a 0.5% increase in our discount rate, which increased from 7.8% to 8.3%. This change alone reduces our estimated enterprise value by about 7% to 9%. The market does care about who is at the head of the company, particularly in consumer staples, where long-term success is dependent upon consistency of execution.</w:t>
      </w:r>
    </w:p>
    <w:p w14:paraId="068F63B1" w14:textId="454E2AB3" w:rsidR="3B91C169" w:rsidRPr="0084485B" w:rsidRDefault="3B91C169" w:rsidP="3D63498A">
      <w:pPr>
        <w:rPr>
          <w:rFonts w:ascii="Times New Roman" w:hAnsi="Times New Roman" w:cs="Times New Roman"/>
        </w:rPr>
      </w:pPr>
      <w:r w:rsidRPr="0084485B">
        <w:rPr>
          <w:rFonts w:ascii="Times New Roman" w:hAnsi="Times New Roman" w:cs="Times New Roman"/>
        </w:rPr>
        <w:t>On a positive note, it is good to see that the Board of Directors acted quickly to hire Rahul Goyal as the new President and CEO at the end of September. Mr. Goyal's experience with operational turnarounds is a promising sign of the seriousness with which the Board is treating the situation. This type of decisive action should help mitigate the long-term impact of this leadership change.</w:t>
      </w:r>
      <w:r w:rsidR="73001BF2" w:rsidRPr="0084485B">
        <w:rPr>
          <w:rFonts w:ascii="Times New Roman" w:hAnsi="Times New Roman" w:cs="Times New Roman"/>
        </w:rPr>
        <w:t xml:space="preserve"> </w:t>
      </w:r>
    </w:p>
    <w:p w14:paraId="4DEB573E" w14:textId="62411986" w:rsidR="3B91C169" w:rsidRPr="0084485B" w:rsidRDefault="3B91C169" w:rsidP="12C94B11">
      <w:pPr>
        <w:rPr>
          <w:rFonts w:ascii="Times New Roman" w:hAnsi="Times New Roman" w:cs="Times New Roman"/>
        </w:rPr>
      </w:pPr>
      <w:r w:rsidRPr="0084485B">
        <w:rPr>
          <w:rFonts w:ascii="Times New Roman" w:hAnsi="Times New Roman" w:cs="Times New Roman"/>
        </w:rPr>
        <w:t>In summary, this e</w:t>
      </w:r>
      <w:r w:rsidR="531AC8F9" w:rsidRPr="0084485B">
        <w:rPr>
          <w:rFonts w:ascii="Times New Roman" w:hAnsi="Times New Roman" w:cs="Times New Roman"/>
        </w:rPr>
        <w:t>vent</w:t>
      </w:r>
      <w:r w:rsidRPr="0084485B">
        <w:rPr>
          <w:rFonts w:ascii="Times New Roman" w:hAnsi="Times New Roman" w:cs="Times New Roman"/>
        </w:rPr>
        <w:t xml:space="preserve"> has once again highlighted the value of developing multiple scenarios using our model. While the brands owned by Molson Coors are among the strongest available, coupled with an equally strong portfolio of products, changes in leadership result in inherent risks and exposures. As such, we believe that we should combine our optimism and enthusiasm about the future of Molson Coors with an awareness of the near-term risks we face.</w:t>
      </w:r>
    </w:p>
    <w:p w14:paraId="02B48382" w14:textId="43E97309" w:rsidR="1B294E3D" w:rsidRPr="0084485B" w:rsidRDefault="1B294E3D" w:rsidP="29C509BA">
      <w:pPr>
        <w:pStyle w:val="Heading1"/>
        <w:rPr>
          <w:rFonts w:ascii="Times New Roman" w:hAnsi="Times New Roman" w:cs="Times New Roman"/>
        </w:rPr>
      </w:pPr>
      <w:r w:rsidRPr="0084485B">
        <w:rPr>
          <w:rFonts w:ascii="Times New Roman" w:hAnsi="Times New Roman" w:cs="Times New Roman"/>
        </w:rPr>
        <w:lastRenderedPageBreak/>
        <w:t>8. Summary of Valuation</w:t>
      </w:r>
    </w:p>
    <w:p w14:paraId="4460FB70" w14:textId="50258393" w:rsidR="00347063" w:rsidRPr="0084485B" w:rsidRDefault="00347063" w:rsidP="00480FA7">
      <w:pPr>
        <w:pStyle w:val="Heading2"/>
        <w:rPr>
          <w:rFonts w:ascii="Times New Roman" w:hAnsi="Times New Roman" w:cs="Times New Roman"/>
        </w:rPr>
      </w:pPr>
      <w:r w:rsidRPr="0084485B">
        <w:rPr>
          <w:rFonts w:ascii="Times New Roman" w:hAnsi="Times New Roman" w:cs="Times New Roman"/>
        </w:rPr>
        <w:t>DCF</w:t>
      </w:r>
      <w:r w:rsidR="0062354B" w:rsidRPr="0084485B">
        <w:rPr>
          <w:rFonts w:ascii="Times New Roman" w:hAnsi="Times New Roman" w:cs="Times New Roman"/>
        </w:rPr>
        <w:t xml:space="preserve"> S</w:t>
      </w:r>
      <w:r w:rsidR="000E155E" w:rsidRPr="0084485B">
        <w:rPr>
          <w:rFonts w:ascii="Times New Roman" w:hAnsi="Times New Roman" w:cs="Times New Roman"/>
        </w:rPr>
        <w:t>ummary</w:t>
      </w:r>
    </w:p>
    <w:p w14:paraId="27564764" w14:textId="10D56EEC" w:rsidR="002F31E8" w:rsidRPr="0084485B" w:rsidRDefault="00347063" w:rsidP="002F31E8">
      <w:pPr>
        <w:rPr>
          <w:rFonts w:ascii="Times New Roman" w:hAnsi="Times New Roman" w:cs="Times New Roman"/>
        </w:rPr>
      </w:pPr>
      <w:r w:rsidRPr="0084485B">
        <w:rPr>
          <w:rFonts w:ascii="Times New Roman" w:hAnsi="Times New Roman" w:cs="Times New Roman"/>
        </w:rPr>
        <w:t xml:space="preserve">The DCF analysis produced an </w:t>
      </w:r>
      <w:r w:rsidR="00AE5129" w:rsidRPr="0084485B">
        <w:rPr>
          <w:rFonts w:ascii="Times New Roman" w:hAnsi="Times New Roman" w:cs="Times New Roman"/>
        </w:rPr>
        <w:t>implied equity</w:t>
      </w:r>
      <w:r w:rsidRPr="0084485B">
        <w:rPr>
          <w:rFonts w:ascii="Times New Roman" w:hAnsi="Times New Roman" w:cs="Times New Roman"/>
        </w:rPr>
        <w:t xml:space="preserve"> value range of approximately $</w:t>
      </w:r>
      <w:r w:rsidR="00AE5129" w:rsidRPr="0084485B">
        <w:rPr>
          <w:rFonts w:ascii="Times New Roman" w:hAnsi="Times New Roman" w:cs="Times New Roman"/>
        </w:rPr>
        <w:t>85.74-$95.11</w:t>
      </w:r>
      <w:r w:rsidRPr="0084485B">
        <w:rPr>
          <w:rFonts w:ascii="Times New Roman" w:hAnsi="Times New Roman" w:cs="Times New Roman"/>
        </w:rPr>
        <w:t xml:space="preserve"> per share, depending on whether terminal value is derived from the perpetuity growth method or EBITDA multiples. The key drivers of value include stable long-term cash flow generation, disciplined capex, and margin normalization following the tariff shock</w:t>
      </w:r>
      <w:r w:rsidR="008A609F" w:rsidRPr="0084485B">
        <w:rPr>
          <w:rFonts w:ascii="Times New Roman" w:hAnsi="Times New Roman" w:cs="Times New Roman"/>
        </w:rPr>
        <w:t xml:space="preserve"> from aluminum in 2025</w:t>
      </w:r>
      <w:r w:rsidRPr="0084485B">
        <w:rPr>
          <w:rFonts w:ascii="Times New Roman" w:hAnsi="Times New Roman" w:cs="Times New Roman"/>
        </w:rPr>
        <w:t xml:space="preserve">. Leadership transition risk and </w:t>
      </w:r>
      <w:r w:rsidR="00FB555E" w:rsidRPr="0084485B">
        <w:rPr>
          <w:rFonts w:ascii="Times New Roman" w:hAnsi="Times New Roman" w:cs="Times New Roman"/>
        </w:rPr>
        <w:t>short</w:t>
      </w:r>
      <w:r w:rsidRPr="0084485B">
        <w:rPr>
          <w:rFonts w:ascii="Times New Roman" w:hAnsi="Times New Roman" w:cs="Times New Roman"/>
        </w:rPr>
        <w:t>-term volume softness were incorporated through conservative revenue and cost assumptions, as well as an elevated discount rate reflecting higher risk.</w:t>
      </w:r>
    </w:p>
    <w:p w14:paraId="71C77CE6" w14:textId="5A192A0E" w:rsidR="00BD5A99" w:rsidRPr="0084485B" w:rsidRDefault="00347063" w:rsidP="002F31E8">
      <w:pPr>
        <w:pStyle w:val="Heading2"/>
        <w:rPr>
          <w:rFonts w:ascii="Times New Roman" w:hAnsi="Times New Roman" w:cs="Times New Roman"/>
        </w:rPr>
      </w:pPr>
      <w:r w:rsidRPr="0084485B">
        <w:rPr>
          <w:rFonts w:ascii="Times New Roman" w:hAnsi="Times New Roman" w:cs="Times New Roman"/>
        </w:rPr>
        <w:t xml:space="preserve">Relative Valuation </w:t>
      </w:r>
      <w:r w:rsidR="0062354B" w:rsidRPr="0084485B">
        <w:rPr>
          <w:rFonts w:ascii="Times New Roman" w:hAnsi="Times New Roman" w:cs="Times New Roman"/>
        </w:rPr>
        <w:t>Summary</w:t>
      </w:r>
    </w:p>
    <w:p w14:paraId="20BF369A" w14:textId="45AF8C75" w:rsidR="00347063" w:rsidRPr="0084485B" w:rsidRDefault="00347063" w:rsidP="00654B6F">
      <w:pPr>
        <w:rPr>
          <w:rFonts w:ascii="Times New Roman" w:hAnsi="Times New Roman" w:cs="Times New Roman"/>
        </w:rPr>
      </w:pPr>
      <w:r w:rsidRPr="0084485B">
        <w:rPr>
          <w:rFonts w:ascii="Times New Roman" w:hAnsi="Times New Roman" w:cs="Times New Roman"/>
        </w:rPr>
        <w:t xml:space="preserve">Relative valuation yielded a broader but still strongly supportive range </w:t>
      </w:r>
      <w:r w:rsidR="006732F6" w:rsidRPr="0084485B">
        <w:rPr>
          <w:rFonts w:ascii="Times New Roman" w:hAnsi="Times New Roman" w:cs="Times New Roman"/>
        </w:rPr>
        <w:t xml:space="preserve">of implied price </w:t>
      </w:r>
      <w:r w:rsidRPr="0084485B">
        <w:rPr>
          <w:rFonts w:ascii="Times New Roman" w:hAnsi="Times New Roman" w:cs="Times New Roman"/>
        </w:rPr>
        <w:t>per share, depending on metric</w:t>
      </w:r>
      <w:r w:rsidR="00333BAE" w:rsidRPr="0084485B">
        <w:rPr>
          <w:rFonts w:ascii="Times New Roman" w:hAnsi="Times New Roman" w:cs="Times New Roman"/>
        </w:rPr>
        <w:t xml:space="preserve">. For </w:t>
      </w:r>
      <w:r w:rsidRPr="0084485B">
        <w:rPr>
          <w:rFonts w:ascii="Times New Roman" w:hAnsi="Times New Roman" w:cs="Times New Roman"/>
        </w:rPr>
        <w:t>EV/Sales (1.9x–2.2x)</w:t>
      </w:r>
      <w:r w:rsidR="00333BAE" w:rsidRPr="0084485B">
        <w:rPr>
          <w:rFonts w:ascii="Times New Roman" w:hAnsi="Times New Roman" w:cs="Times New Roman"/>
        </w:rPr>
        <w:t xml:space="preserve">, the price </w:t>
      </w:r>
      <w:r w:rsidR="007C3A51" w:rsidRPr="0084485B">
        <w:rPr>
          <w:rFonts w:ascii="Times New Roman" w:hAnsi="Times New Roman" w:cs="Times New Roman"/>
        </w:rPr>
        <w:t xml:space="preserve">ranged from </w:t>
      </w:r>
      <w:r w:rsidRPr="0084485B">
        <w:rPr>
          <w:rFonts w:ascii="Times New Roman" w:hAnsi="Times New Roman" w:cs="Times New Roman"/>
        </w:rPr>
        <w:t>$</w:t>
      </w:r>
      <w:r w:rsidR="007C3A51" w:rsidRPr="0084485B">
        <w:rPr>
          <w:rFonts w:ascii="Times New Roman" w:hAnsi="Times New Roman" w:cs="Times New Roman"/>
        </w:rPr>
        <w:t>77.04</w:t>
      </w:r>
      <w:r w:rsidRPr="0084485B">
        <w:rPr>
          <w:rFonts w:ascii="Times New Roman" w:hAnsi="Times New Roman" w:cs="Times New Roman"/>
        </w:rPr>
        <w:t>–$</w:t>
      </w:r>
      <w:r w:rsidR="007C3A51" w:rsidRPr="0084485B">
        <w:rPr>
          <w:rFonts w:ascii="Times New Roman" w:hAnsi="Times New Roman" w:cs="Times New Roman"/>
        </w:rPr>
        <w:t>96.23</w:t>
      </w:r>
      <w:r w:rsidR="00D04046" w:rsidRPr="0084485B">
        <w:rPr>
          <w:rFonts w:ascii="Times New Roman" w:hAnsi="Times New Roman" w:cs="Times New Roman"/>
        </w:rPr>
        <w:t xml:space="preserve">. For </w:t>
      </w:r>
      <w:r w:rsidRPr="0084485B">
        <w:rPr>
          <w:rFonts w:ascii="Times New Roman" w:hAnsi="Times New Roman" w:cs="Times New Roman"/>
        </w:rPr>
        <w:t>EV/EBITDA (7.0x–10.1x)</w:t>
      </w:r>
      <w:r w:rsidR="000F697F" w:rsidRPr="0084485B">
        <w:rPr>
          <w:rFonts w:ascii="Times New Roman" w:hAnsi="Times New Roman" w:cs="Times New Roman"/>
        </w:rPr>
        <w:t xml:space="preserve">, </w:t>
      </w:r>
      <w:r w:rsidR="003C2685" w:rsidRPr="0084485B">
        <w:rPr>
          <w:rFonts w:ascii="Times New Roman" w:hAnsi="Times New Roman" w:cs="Times New Roman"/>
        </w:rPr>
        <w:t>there</w:t>
      </w:r>
      <w:r w:rsidR="000F697F" w:rsidRPr="0084485B">
        <w:rPr>
          <w:rFonts w:ascii="Times New Roman" w:hAnsi="Times New Roman" w:cs="Times New Roman"/>
        </w:rPr>
        <w:t xml:space="preserve"> was a </w:t>
      </w:r>
      <w:r w:rsidR="00346594" w:rsidRPr="0084485B">
        <w:rPr>
          <w:rFonts w:ascii="Times New Roman" w:hAnsi="Times New Roman" w:cs="Times New Roman"/>
        </w:rPr>
        <w:t xml:space="preserve">high and wide </w:t>
      </w:r>
      <w:r w:rsidR="00250272" w:rsidRPr="0084485B">
        <w:rPr>
          <w:rFonts w:ascii="Times New Roman" w:hAnsi="Times New Roman" w:cs="Times New Roman"/>
        </w:rPr>
        <w:t xml:space="preserve">price </w:t>
      </w:r>
      <w:r w:rsidR="00346594" w:rsidRPr="0084485B">
        <w:rPr>
          <w:rFonts w:ascii="Times New Roman" w:hAnsi="Times New Roman" w:cs="Times New Roman"/>
        </w:rPr>
        <w:t xml:space="preserve">range from </w:t>
      </w:r>
      <w:r w:rsidR="00250272" w:rsidRPr="0084485B">
        <w:rPr>
          <w:rFonts w:ascii="Times New Roman" w:hAnsi="Times New Roman" w:cs="Times New Roman"/>
        </w:rPr>
        <w:t>$373.63-$5</w:t>
      </w:r>
      <w:r w:rsidR="00327178" w:rsidRPr="0084485B">
        <w:rPr>
          <w:rFonts w:ascii="Times New Roman" w:hAnsi="Times New Roman" w:cs="Times New Roman"/>
        </w:rPr>
        <w:t xml:space="preserve">49.28. This range is primarily explained by </w:t>
      </w:r>
      <w:r w:rsidR="00405683" w:rsidRPr="0084485B">
        <w:rPr>
          <w:rFonts w:ascii="Times New Roman" w:hAnsi="Times New Roman" w:cs="Times New Roman"/>
        </w:rPr>
        <w:t>Constellation Brand</w:t>
      </w:r>
      <w:r w:rsidR="00EA0B49" w:rsidRPr="0084485B">
        <w:rPr>
          <w:rFonts w:ascii="Times New Roman" w:hAnsi="Times New Roman" w:cs="Times New Roman"/>
        </w:rPr>
        <w:t>s’</w:t>
      </w:r>
      <w:r w:rsidR="00327178" w:rsidRPr="0084485B">
        <w:rPr>
          <w:rFonts w:ascii="Times New Roman" w:hAnsi="Times New Roman" w:cs="Times New Roman"/>
        </w:rPr>
        <w:t xml:space="preserve"> </w:t>
      </w:r>
      <w:r w:rsidR="00405683" w:rsidRPr="0084485B">
        <w:rPr>
          <w:rFonts w:ascii="Times New Roman" w:hAnsi="Times New Roman" w:cs="Times New Roman"/>
        </w:rPr>
        <w:t>premium multiple</w:t>
      </w:r>
      <w:r w:rsidR="00EA0B49" w:rsidRPr="0084485B">
        <w:rPr>
          <w:rFonts w:ascii="Times New Roman" w:hAnsi="Times New Roman" w:cs="Times New Roman"/>
        </w:rPr>
        <w:t>. Next, EV/EBIT</w:t>
      </w:r>
      <w:r w:rsidR="00447434" w:rsidRPr="0084485B">
        <w:rPr>
          <w:rFonts w:ascii="Times New Roman" w:hAnsi="Times New Roman" w:cs="Times New Roman"/>
        </w:rPr>
        <w:t xml:space="preserve"> (</w:t>
      </w:r>
      <w:r w:rsidR="00461B37" w:rsidRPr="0084485B">
        <w:rPr>
          <w:rFonts w:ascii="Times New Roman" w:hAnsi="Times New Roman" w:cs="Times New Roman"/>
        </w:rPr>
        <w:t>8.5x-9.0x)</w:t>
      </w:r>
      <w:r w:rsidR="002E5F0E" w:rsidRPr="0084485B">
        <w:rPr>
          <w:rFonts w:ascii="Times New Roman" w:hAnsi="Times New Roman" w:cs="Times New Roman"/>
        </w:rPr>
        <w:t xml:space="preserve"> had lower implied values tied to conservative European brewer multiples</w:t>
      </w:r>
      <w:r w:rsidR="00EB07C6" w:rsidRPr="0084485B">
        <w:rPr>
          <w:rFonts w:ascii="Times New Roman" w:hAnsi="Times New Roman" w:cs="Times New Roman"/>
        </w:rPr>
        <w:t xml:space="preserve"> </w:t>
      </w:r>
      <w:r w:rsidR="002E5F0E" w:rsidRPr="0084485B">
        <w:rPr>
          <w:rFonts w:ascii="Times New Roman" w:hAnsi="Times New Roman" w:cs="Times New Roman"/>
        </w:rPr>
        <w:t xml:space="preserve">and thus had a price range of $45.99-$48.44. </w:t>
      </w:r>
      <w:r w:rsidR="00447434" w:rsidRPr="0084485B">
        <w:rPr>
          <w:rFonts w:ascii="Times New Roman" w:hAnsi="Times New Roman" w:cs="Times New Roman"/>
        </w:rPr>
        <w:t xml:space="preserve">Forward P/E </w:t>
      </w:r>
      <w:r w:rsidR="00461B37" w:rsidRPr="0084485B">
        <w:rPr>
          <w:rFonts w:ascii="Times New Roman" w:hAnsi="Times New Roman" w:cs="Times New Roman"/>
        </w:rPr>
        <w:t xml:space="preserve">(14.3x-25.6x) and PEG ratios </w:t>
      </w:r>
      <w:r w:rsidR="00EB07C6" w:rsidRPr="0084485B">
        <w:rPr>
          <w:rFonts w:ascii="Times New Roman" w:hAnsi="Times New Roman" w:cs="Times New Roman"/>
        </w:rPr>
        <w:t xml:space="preserve">illustrated the divergence in market expectation for growth with price ranges of </w:t>
      </w:r>
      <w:r w:rsidR="00C942C6" w:rsidRPr="0084485B">
        <w:rPr>
          <w:rFonts w:ascii="Times New Roman" w:hAnsi="Times New Roman" w:cs="Times New Roman"/>
        </w:rPr>
        <w:t xml:space="preserve">$45.99-$48.44 and $39.89-$104.08, respectively. </w:t>
      </w:r>
      <w:r w:rsidR="00766E5C" w:rsidRPr="0084485B">
        <w:rPr>
          <w:rFonts w:ascii="Times New Roman" w:hAnsi="Times New Roman" w:cs="Times New Roman"/>
        </w:rPr>
        <w:t>Lastly, the price-to-book range (</w:t>
      </w:r>
      <w:r w:rsidR="000F4F68" w:rsidRPr="0084485B">
        <w:rPr>
          <w:rFonts w:ascii="Times New Roman" w:hAnsi="Times New Roman" w:cs="Times New Roman"/>
        </w:rPr>
        <w:t xml:space="preserve">2.0x-2.2x) displayed an implied price per share range from </w:t>
      </w:r>
      <w:r w:rsidR="00B6146E" w:rsidRPr="0084485B">
        <w:rPr>
          <w:rFonts w:ascii="Times New Roman" w:hAnsi="Times New Roman" w:cs="Times New Roman"/>
        </w:rPr>
        <w:t>$138.30-$152.65</w:t>
      </w:r>
      <w:r w:rsidR="0004661E" w:rsidRPr="0084485B">
        <w:rPr>
          <w:rFonts w:ascii="Times New Roman" w:hAnsi="Times New Roman" w:cs="Times New Roman"/>
        </w:rPr>
        <w:t xml:space="preserve"> which supports</w:t>
      </w:r>
      <w:r w:rsidR="00887DE3" w:rsidRPr="0084485B">
        <w:rPr>
          <w:rFonts w:ascii="Times New Roman" w:hAnsi="Times New Roman" w:cs="Times New Roman"/>
        </w:rPr>
        <w:t xml:space="preserve"> </w:t>
      </w:r>
      <w:r w:rsidR="00A1443A" w:rsidRPr="0084485B">
        <w:rPr>
          <w:rFonts w:ascii="Times New Roman" w:hAnsi="Times New Roman" w:cs="Times New Roman"/>
        </w:rPr>
        <w:t xml:space="preserve">intrinsic value above current market price due to Molson Coor’s strong asset base. </w:t>
      </w:r>
    </w:p>
    <w:p w14:paraId="1C865354" w14:textId="52E4ADBD" w:rsidR="00651199" w:rsidRDefault="00E230F4" w:rsidP="01485328">
      <w:pPr>
        <w:rPr>
          <w:rFonts w:ascii="Times New Roman" w:hAnsi="Times New Roman" w:cs="Times New Roman"/>
        </w:rPr>
      </w:pPr>
      <w:r w:rsidRPr="0084485B">
        <w:rPr>
          <w:rFonts w:ascii="Times New Roman" w:hAnsi="Times New Roman" w:cs="Times New Roman"/>
        </w:rPr>
        <w:t xml:space="preserve">Given TAP’s </w:t>
      </w:r>
      <w:r w:rsidR="00057E65" w:rsidRPr="0084485B">
        <w:rPr>
          <w:rFonts w:ascii="Times New Roman" w:hAnsi="Times New Roman" w:cs="Times New Roman"/>
        </w:rPr>
        <w:t>52-week</w:t>
      </w:r>
      <w:r w:rsidRPr="0084485B">
        <w:rPr>
          <w:rFonts w:ascii="Times New Roman" w:hAnsi="Times New Roman" w:cs="Times New Roman"/>
        </w:rPr>
        <w:t xml:space="preserve"> </w:t>
      </w:r>
      <w:r w:rsidR="00B4558A" w:rsidRPr="0084485B">
        <w:rPr>
          <w:rFonts w:ascii="Times New Roman" w:hAnsi="Times New Roman" w:cs="Times New Roman"/>
        </w:rPr>
        <w:t>high-low of $42.94-$64.66, t</w:t>
      </w:r>
      <w:r w:rsidR="00736097" w:rsidRPr="0084485B">
        <w:rPr>
          <w:rFonts w:ascii="Times New Roman" w:hAnsi="Times New Roman" w:cs="Times New Roman"/>
        </w:rPr>
        <w:t>his relative valuation</w:t>
      </w:r>
      <w:r w:rsidR="00347063" w:rsidRPr="0084485B">
        <w:rPr>
          <w:rFonts w:ascii="Times New Roman" w:hAnsi="Times New Roman" w:cs="Times New Roman"/>
        </w:rPr>
        <w:t xml:space="preserve"> collectively indicate</w:t>
      </w:r>
      <w:r w:rsidR="00736097" w:rsidRPr="0084485B">
        <w:rPr>
          <w:rFonts w:ascii="Times New Roman" w:hAnsi="Times New Roman" w:cs="Times New Roman"/>
        </w:rPr>
        <w:t>s</w:t>
      </w:r>
      <w:r w:rsidR="00347063" w:rsidRPr="0084485B">
        <w:rPr>
          <w:rFonts w:ascii="Times New Roman" w:hAnsi="Times New Roman" w:cs="Times New Roman"/>
        </w:rPr>
        <w:t xml:space="preserve"> that Molson Coors trades at a discount relative to peers on nearly every dimension</w:t>
      </w:r>
      <w:r w:rsidR="00057E65" w:rsidRPr="0084485B">
        <w:rPr>
          <w:rFonts w:ascii="Times New Roman" w:hAnsi="Times New Roman" w:cs="Times New Roman"/>
        </w:rPr>
        <w:t>.</w:t>
      </w:r>
      <w:r w:rsidR="00347063" w:rsidRPr="0084485B">
        <w:rPr>
          <w:rFonts w:ascii="Times New Roman" w:hAnsi="Times New Roman" w:cs="Times New Roman"/>
        </w:rPr>
        <w:t xml:space="preserve"> The results imply that the market is pricing Molson Coors more like a </w:t>
      </w:r>
      <w:r w:rsidR="00057E65" w:rsidRPr="0084485B">
        <w:rPr>
          <w:rFonts w:ascii="Times New Roman" w:hAnsi="Times New Roman" w:cs="Times New Roman"/>
        </w:rPr>
        <w:t>low-</w:t>
      </w:r>
      <w:r w:rsidR="00347063" w:rsidRPr="0084485B">
        <w:rPr>
          <w:rFonts w:ascii="Times New Roman" w:hAnsi="Times New Roman" w:cs="Times New Roman"/>
        </w:rPr>
        <w:t xml:space="preserve">growth or structurally impaired brewer rather than a diversified global beverage company </w:t>
      </w:r>
      <w:r w:rsidR="00057E65" w:rsidRPr="0084485B">
        <w:rPr>
          <w:rFonts w:ascii="Times New Roman" w:hAnsi="Times New Roman" w:cs="Times New Roman"/>
        </w:rPr>
        <w:t>positioned for gradual operational and margin improvement.</w:t>
      </w:r>
    </w:p>
    <w:p w14:paraId="78872A54" w14:textId="51D6123B" w:rsidR="00347063" w:rsidRPr="0084485B" w:rsidRDefault="00347063" w:rsidP="002F31E8">
      <w:pPr>
        <w:pStyle w:val="Heading2"/>
        <w:rPr>
          <w:rFonts w:ascii="Times New Roman" w:hAnsi="Times New Roman" w:cs="Times New Roman"/>
        </w:rPr>
      </w:pPr>
      <w:r w:rsidRPr="0084485B">
        <w:rPr>
          <w:rFonts w:ascii="Times New Roman" w:hAnsi="Times New Roman" w:cs="Times New Roman"/>
        </w:rPr>
        <w:t>Final Valuation Range</w:t>
      </w:r>
    </w:p>
    <w:p w14:paraId="71FC71E4" w14:textId="03DC5C13" w:rsidR="00651199" w:rsidRDefault="00AE5129" w:rsidP="00EE6950">
      <w:pPr>
        <w:rPr>
          <w:rFonts w:ascii="Times New Roman" w:hAnsi="Times New Roman" w:cs="Times New Roman"/>
          <w:noProof/>
        </w:rPr>
      </w:pPr>
      <w:r w:rsidRPr="0084485B">
        <w:rPr>
          <w:rFonts w:ascii="Times New Roman" w:hAnsi="Times New Roman" w:cs="Times New Roman"/>
        </w:rPr>
        <w:lastRenderedPageBreak/>
        <w:t>Considering</w:t>
      </w:r>
      <w:r w:rsidR="00347063" w:rsidRPr="0084485B">
        <w:rPr>
          <w:rFonts w:ascii="Times New Roman" w:hAnsi="Times New Roman" w:cs="Times New Roman"/>
        </w:rPr>
        <w:t xml:space="preserve"> both</w:t>
      </w:r>
      <w:r w:rsidR="00057E65" w:rsidRPr="0084485B">
        <w:rPr>
          <w:rFonts w:ascii="Times New Roman" w:hAnsi="Times New Roman" w:cs="Times New Roman"/>
        </w:rPr>
        <w:t xml:space="preserve"> valuation</w:t>
      </w:r>
      <w:r w:rsidR="00347063" w:rsidRPr="0084485B">
        <w:rPr>
          <w:rFonts w:ascii="Times New Roman" w:hAnsi="Times New Roman" w:cs="Times New Roman"/>
        </w:rPr>
        <w:t xml:space="preserve"> frameworks, we</w:t>
      </w:r>
      <w:r w:rsidR="00057E65" w:rsidRPr="0084485B">
        <w:rPr>
          <w:rFonts w:ascii="Times New Roman" w:hAnsi="Times New Roman" w:cs="Times New Roman"/>
        </w:rPr>
        <w:t xml:space="preserve"> have</w:t>
      </w:r>
      <w:r w:rsidR="00347063" w:rsidRPr="0084485B">
        <w:rPr>
          <w:rFonts w:ascii="Times New Roman" w:hAnsi="Times New Roman" w:cs="Times New Roman"/>
        </w:rPr>
        <w:t xml:space="preserve"> adopt</w:t>
      </w:r>
      <w:r w:rsidR="00057E65" w:rsidRPr="0084485B">
        <w:rPr>
          <w:rFonts w:ascii="Times New Roman" w:hAnsi="Times New Roman" w:cs="Times New Roman"/>
        </w:rPr>
        <w:t>ed</w:t>
      </w:r>
      <w:r w:rsidR="00347063" w:rsidRPr="0084485B">
        <w:rPr>
          <w:rFonts w:ascii="Times New Roman" w:hAnsi="Times New Roman" w:cs="Times New Roman"/>
        </w:rPr>
        <w:t xml:space="preserve"> a final valuation range of</w:t>
      </w:r>
      <w:r w:rsidR="00057E65" w:rsidRPr="0084485B">
        <w:rPr>
          <w:rFonts w:ascii="Times New Roman" w:hAnsi="Times New Roman" w:cs="Times New Roman"/>
        </w:rPr>
        <w:t xml:space="preserve"> </w:t>
      </w:r>
      <w:r w:rsidR="00347063" w:rsidRPr="0084485B">
        <w:rPr>
          <w:rFonts w:ascii="Times New Roman" w:hAnsi="Times New Roman" w:cs="Times New Roman"/>
        </w:rPr>
        <w:t>$</w:t>
      </w:r>
      <w:r w:rsidR="00202D74">
        <w:rPr>
          <w:rFonts w:ascii="Times New Roman" w:hAnsi="Times New Roman" w:cs="Times New Roman"/>
        </w:rPr>
        <w:t>80</w:t>
      </w:r>
      <w:r w:rsidRPr="0084485B">
        <w:rPr>
          <w:rFonts w:ascii="Times New Roman" w:hAnsi="Times New Roman" w:cs="Times New Roman"/>
        </w:rPr>
        <w:t>-$100</w:t>
      </w:r>
      <w:r w:rsidR="00347063" w:rsidRPr="0084485B">
        <w:rPr>
          <w:rFonts w:ascii="Times New Roman" w:hAnsi="Times New Roman" w:cs="Times New Roman"/>
        </w:rPr>
        <w:t xml:space="preserve"> per share</w:t>
      </w:r>
      <w:r w:rsidRPr="0084485B">
        <w:rPr>
          <w:rFonts w:ascii="Times New Roman" w:hAnsi="Times New Roman" w:cs="Times New Roman"/>
        </w:rPr>
        <w:t xml:space="preserve">. </w:t>
      </w:r>
      <w:r w:rsidR="00347063" w:rsidRPr="0084485B">
        <w:rPr>
          <w:rFonts w:ascii="Times New Roman" w:hAnsi="Times New Roman" w:cs="Times New Roman"/>
        </w:rPr>
        <w:t>This range represents the intersection of</w:t>
      </w:r>
      <w:r w:rsidRPr="0084485B">
        <w:rPr>
          <w:rFonts w:ascii="Times New Roman" w:hAnsi="Times New Roman" w:cs="Times New Roman"/>
        </w:rPr>
        <w:t xml:space="preserve"> t</w:t>
      </w:r>
      <w:r w:rsidR="00347063" w:rsidRPr="0084485B">
        <w:rPr>
          <w:rFonts w:ascii="Times New Roman" w:hAnsi="Times New Roman" w:cs="Times New Roman"/>
        </w:rPr>
        <w:t>he midpoint of DCF values</w:t>
      </w:r>
      <w:r w:rsidRPr="0084485B">
        <w:rPr>
          <w:rFonts w:ascii="Times New Roman" w:hAnsi="Times New Roman" w:cs="Times New Roman"/>
        </w:rPr>
        <w:t xml:space="preserve"> ($90.43), </w:t>
      </w:r>
      <w:r w:rsidR="005B349F">
        <w:rPr>
          <w:rFonts w:ascii="Times New Roman" w:hAnsi="Times New Roman" w:cs="Times New Roman"/>
        </w:rPr>
        <w:t>a conservative</w:t>
      </w:r>
      <w:r w:rsidR="00347063" w:rsidRPr="0084485B">
        <w:rPr>
          <w:rFonts w:ascii="Times New Roman" w:hAnsi="Times New Roman" w:cs="Times New Roman"/>
        </w:rPr>
        <w:t xml:space="preserve"> cluster</w:t>
      </w:r>
      <w:r w:rsidR="005B349F">
        <w:rPr>
          <w:rFonts w:ascii="Times New Roman" w:hAnsi="Times New Roman" w:cs="Times New Roman"/>
        </w:rPr>
        <w:t xml:space="preserve"> </w:t>
      </w:r>
      <w:r w:rsidR="00347063" w:rsidRPr="0084485B">
        <w:rPr>
          <w:rFonts w:ascii="Times New Roman" w:hAnsi="Times New Roman" w:cs="Times New Roman"/>
        </w:rPr>
        <w:t xml:space="preserve">of </w:t>
      </w:r>
      <w:r w:rsidR="00EE6950" w:rsidRPr="0084485B">
        <w:rPr>
          <w:rFonts w:ascii="Times New Roman" w:hAnsi="Times New Roman" w:cs="Times New Roman"/>
        </w:rPr>
        <w:t xml:space="preserve">stable </w:t>
      </w:r>
      <w:r w:rsidR="00347063" w:rsidRPr="0084485B">
        <w:rPr>
          <w:rFonts w:ascii="Times New Roman" w:hAnsi="Times New Roman" w:cs="Times New Roman"/>
        </w:rPr>
        <w:t>relative valuation multiples</w:t>
      </w:r>
      <w:r w:rsidR="00EE6950" w:rsidRPr="0084485B">
        <w:rPr>
          <w:rFonts w:ascii="Times New Roman" w:hAnsi="Times New Roman" w:cs="Times New Roman"/>
        </w:rPr>
        <w:t xml:space="preserve"> ($7</w:t>
      </w:r>
      <w:r w:rsidR="00976813" w:rsidRPr="0084485B">
        <w:rPr>
          <w:rFonts w:ascii="Times New Roman" w:hAnsi="Times New Roman" w:cs="Times New Roman"/>
        </w:rPr>
        <w:t>7-$96)</w:t>
      </w:r>
      <w:r w:rsidRPr="0084485B">
        <w:rPr>
          <w:rFonts w:ascii="Times New Roman" w:hAnsi="Times New Roman" w:cs="Times New Roman"/>
        </w:rPr>
        <w:t>, and a</w:t>
      </w:r>
      <w:r w:rsidR="00347063" w:rsidRPr="0084485B">
        <w:rPr>
          <w:rFonts w:ascii="Times New Roman" w:hAnsi="Times New Roman" w:cs="Times New Roman"/>
        </w:rPr>
        <w:t xml:space="preserve"> conservative interpretation of strategic, operational, and macroeconomic risks</w:t>
      </w:r>
      <w:r w:rsidRPr="0084485B">
        <w:rPr>
          <w:rFonts w:ascii="Times New Roman" w:hAnsi="Times New Roman" w:cs="Times New Roman"/>
        </w:rPr>
        <w:t>.</w:t>
      </w:r>
      <w:r w:rsidR="00EE6950" w:rsidRPr="0084485B">
        <w:rPr>
          <w:rFonts w:ascii="Times New Roman" w:hAnsi="Times New Roman" w:cs="Times New Roman"/>
        </w:rPr>
        <w:t xml:space="preserve"> </w:t>
      </w:r>
      <w:r w:rsidR="00347063" w:rsidRPr="0084485B">
        <w:rPr>
          <w:rFonts w:ascii="Times New Roman" w:hAnsi="Times New Roman" w:cs="Times New Roman"/>
        </w:rPr>
        <w:t xml:space="preserve">Given </w:t>
      </w:r>
      <w:r w:rsidR="00574FFE">
        <w:rPr>
          <w:rFonts w:ascii="Times New Roman" w:hAnsi="Times New Roman" w:cs="Times New Roman"/>
        </w:rPr>
        <w:t xml:space="preserve">the current stock price of </w:t>
      </w:r>
      <w:r w:rsidR="008B1427">
        <w:rPr>
          <w:rFonts w:ascii="Times New Roman" w:hAnsi="Times New Roman" w:cs="Times New Roman"/>
        </w:rPr>
        <w:t>~$45</w:t>
      </w:r>
      <w:r w:rsidR="00574FFE">
        <w:rPr>
          <w:rFonts w:ascii="Times New Roman" w:hAnsi="Times New Roman" w:cs="Times New Roman"/>
        </w:rPr>
        <w:t xml:space="preserve"> at the time of valuation</w:t>
      </w:r>
      <w:r w:rsidR="00347063" w:rsidRPr="0084485B">
        <w:rPr>
          <w:rFonts w:ascii="Times New Roman" w:hAnsi="Times New Roman" w:cs="Times New Roman"/>
        </w:rPr>
        <w:t>, Molson Coors appears significantly undervalued.</w:t>
      </w:r>
      <w:r w:rsidR="00BF4E5B" w:rsidRPr="00BF4E5B">
        <w:rPr>
          <w:rFonts w:ascii="Times New Roman" w:hAnsi="Times New Roman" w:cs="Times New Roman"/>
          <w:noProof/>
        </w:rPr>
        <w:t xml:space="preserve"> </w:t>
      </w:r>
    </w:p>
    <w:p w14:paraId="63BB7BCE" w14:textId="7F7B4521" w:rsidR="005246A8" w:rsidRDefault="00A33F7E" w:rsidP="00EE6950">
      <w:pPr>
        <w:rPr>
          <w:rFonts w:ascii="Times New Roman" w:hAnsi="Times New Roman" w:cs="Times New Roman"/>
        </w:rPr>
      </w:pPr>
      <w:r>
        <w:rPr>
          <w:rFonts w:ascii="Times New Roman" w:hAnsi="Times New Roman" w:cs="Times New Roman"/>
        </w:rPr>
        <w:t>Exhibit 9: Football Field Chart</w:t>
      </w:r>
      <w:r w:rsidR="005246A8">
        <w:rPr>
          <w:noProof/>
        </w:rPr>
        <w:drawing>
          <wp:inline distT="0" distB="0" distL="0" distR="0" wp14:anchorId="466EB267" wp14:editId="01E06D9E">
            <wp:extent cx="6118578" cy="2769870"/>
            <wp:effectExtent l="0" t="0" r="15875" b="11430"/>
            <wp:docPr id="571431294" name="Chart 1">
              <a:extLst xmlns:a="http://schemas.openxmlformats.org/drawingml/2006/main">
                <a:ext uri="{FF2B5EF4-FFF2-40B4-BE49-F238E27FC236}">
                  <a16:creationId xmlns:a16="http://schemas.microsoft.com/office/drawing/2014/main" id="{0769B8A7-B803-FD06-E223-1F47A2E7D7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477484BA" w14:textId="77777777" w:rsidR="00256164" w:rsidRDefault="00A62CBA" w:rsidP="006361B8">
      <w:pPr>
        <w:rPr>
          <w:rFonts w:ascii="Times New Roman" w:hAnsi="Times New Roman" w:cs="Times New Roman"/>
        </w:rPr>
      </w:pPr>
      <w:r w:rsidRPr="00A62CBA">
        <w:rPr>
          <w:rFonts w:ascii="Times New Roman" w:hAnsi="Times New Roman" w:cs="Times New Roman"/>
        </w:rPr>
        <w:t xml:space="preserve">The football field chart </w:t>
      </w:r>
      <w:r>
        <w:rPr>
          <w:rFonts w:ascii="Times New Roman" w:hAnsi="Times New Roman" w:cs="Times New Roman"/>
        </w:rPr>
        <w:t>above</w:t>
      </w:r>
      <w:r w:rsidR="0063564B" w:rsidRPr="0063564B">
        <w:rPr>
          <w:rFonts w:ascii="Times New Roman" w:hAnsi="Times New Roman" w:cs="Times New Roman"/>
        </w:rPr>
        <w:t xml:space="preserve"> summarizes the valuation ranges from our relative and intrinsic valuation methods. The forward PEG multiple provides the most conservative indication of value, with implied prices in the $46–$48 range, reflecting the market’s low-growth expectations for mature brewers. In contrast, the EV/Sales approach yields a more reliable range of $77–$96, consistent with Molson Coors’ scale, brand strength, and stable revenue profile.</w:t>
      </w:r>
      <w:r w:rsidR="00256164">
        <w:rPr>
          <w:rFonts w:ascii="Times New Roman" w:hAnsi="Times New Roman" w:cs="Times New Roman"/>
        </w:rPr>
        <w:t xml:space="preserve"> </w:t>
      </w:r>
    </w:p>
    <w:p w14:paraId="75FD8E63" w14:textId="5B214EC9" w:rsidR="0063564B" w:rsidRDefault="00256164" w:rsidP="006361B8">
      <w:pPr>
        <w:rPr>
          <w:rFonts w:ascii="Times New Roman" w:hAnsi="Times New Roman" w:cs="Times New Roman"/>
        </w:rPr>
      </w:pPr>
      <w:r w:rsidRPr="00256164">
        <w:rPr>
          <w:rFonts w:ascii="Times New Roman" w:hAnsi="Times New Roman" w:cs="Times New Roman"/>
        </w:rPr>
        <w:t>Our DCF analysis supports higher intrinsic values</w:t>
      </w:r>
      <w:r w:rsidR="002B321B">
        <w:rPr>
          <w:rFonts w:ascii="Times New Roman" w:hAnsi="Times New Roman" w:cs="Times New Roman"/>
        </w:rPr>
        <w:t>, as well</w:t>
      </w:r>
      <w:r w:rsidRPr="00256164">
        <w:rPr>
          <w:rFonts w:ascii="Times New Roman" w:hAnsi="Times New Roman" w:cs="Times New Roman"/>
        </w:rPr>
        <w:t xml:space="preserve">. While the DCF sensitivity ranges span $82–$206 under varying terminal growth assumptions and $31–$104 under exit-multiple scenarios, our base-case DCF estimates fall between $85.74 and $95.11, placing Molson Coors near the </w:t>
      </w:r>
      <w:r w:rsidR="006B1712">
        <w:rPr>
          <w:rFonts w:ascii="Times New Roman" w:hAnsi="Times New Roman" w:cs="Times New Roman"/>
        </w:rPr>
        <w:t>midpoint</w:t>
      </w:r>
      <w:r w:rsidRPr="00256164">
        <w:rPr>
          <w:rFonts w:ascii="Times New Roman" w:hAnsi="Times New Roman" w:cs="Times New Roman"/>
        </w:rPr>
        <w:t xml:space="preserve"> of credible valuation.</w:t>
      </w:r>
    </w:p>
    <w:p w14:paraId="1E64E4B8" w14:textId="214354E2" w:rsidR="00C96D5C" w:rsidRDefault="00C96D5C" w:rsidP="006361B8">
      <w:pPr>
        <w:rPr>
          <w:rFonts w:ascii="Times New Roman" w:hAnsi="Times New Roman" w:cs="Times New Roman"/>
        </w:rPr>
      </w:pPr>
      <w:r w:rsidRPr="00C96D5C">
        <w:rPr>
          <w:rFonts w:ascii="Times New Roman" w:hAnsi="Times New Roman" w:cs="Times New Roman"/>
        </w:rPr>
        <w:lastRenderedPageBreak/>
        <w:t>Taken together</w:t>
      </w:r>
      <w:r>
        <w:rPr>
          <w:rFonts w:ascii="Times New Roman" w:hAnsi="Times New Roman" w:cs="Times New Roman"/>
        </w:rPr>
        <w:t xml:space="preserve">, </w:t>
      </w:r>
      <w:r w:rsidRPr="00C96D5C">
        <w:rPr>
          <w:rFonts w:ascii="Times New Roman" w:hAnsi="Times New Roman" w:cs="Times New Roman"/>
        </w:rPr>
        <w:t xml:space="preserve">the valuation methods converge on a </w:t>
      </w:r>
      <w:r>
        <w:rPr>
          <w:rFonts w:ascii="Times New Roman" w:hAnsi="Times New Roman" w:cs="Times New Roman"/>
        </w:rPr>
        <w:t>final</w:t>
      </w:r>
      <w:r w:rsidRPr="00C96D5C">
        <w:rPr>
          <w:rFonts w:ascii="Times New Roman" w:hAnsi="Times New Roman" w:cs="Times New Roman"/>
        </w:rPr>
        <w:t xml:space="preserve"> value of approximately $80–$100 per share. The football field chart</w:t>
      </w:r>
      <w:r>
        <w:rPr>
          <w:rFonts w:ascii="Times New Roman" w:hAnsi="Times New Roman" w:cs="Times New Roman"/>
        </w:rPr>
        <w:t>,</w:t>
      </w:r>
      <w:r w:rsidRPr="00C96D5C">
        <w:rPr>
          <w:rFonts w:ascii="Times New Roman" w:hAnsi="Times New Roman" w:cs="Times New Roman"/>
        </w:rPr>
        <w:t xml:space="preserve"> therefore</w:t>
      </w:r>
      <w:r>
        <w:rPr>
          <w:rFonts w:ascii="Times New Roman" w:hAnsi="Times New Roman" w:cs="Times New Roman"/>
        </w:rPr>
        <w:t>,</w:t>
      </w:r>
      <w:r w:rsidRPr="00C96D5C">
        <w:rPr>
          <w:rFonts w:ascii="Times New Roman" w:hAnsi="Times New Roman" w:cs="Times New Roman"/>
        </w:rPr>
        <w:t xml:space="preserve"> reinforces our conclusion that Molson Coors is significantly undervalued relative to both peers and intrinsic cash</w:t>
      </w:r>
      <w:r>
        <w:rPr>
          <w:rFonts w:ascii="Times New Roman" w:hAnsi="Times New Roman" w:cs="Times New Roman"/>
        </w:rPr>
        <w:t xml:space="preserve"> </w:t>
      </w:r>
      <w:r w:rsidRPr="00C96D5C">
        <w:rPr>
          <w:rFonts w:ascii="Times New Roman" w:hAnsi="Times New Roman" w:cs="Times New Roman"/>
        </w:rPr>
        <w:t>flow fundamentals.</w:t>
      </w:r>
    </w:p>
    <w:p w14:paraId="39768126" w14:textId="6458D612" w:rsidR="17939AAC" w:rsidRPr="0084485B" w:rsidRDefault="17939AAC" w:rsidP="279B0B27">
      <w:pPr>
        <w:pStyle w:val="Heading1"/>
        <w:rPr>
          <w:rFonts w:ascii="Times New Roman" w:hAnsi="Times New Roman" w:cs="Times New Roman"/>
        </w:rPr>
      </w:pPr>
      <w:r w:rsidRPr="0084485B">
        <w:rPr>
          <w:rFonts w:ascii="Times New Roman" w:hAnsi="Times New Roman" w:cs="Times New Roman"/>
        </w:rPr>
        <w:t xml:space="preserve">9. </w:t>
      </w:r>
      <w:r w:rsidR="6EBDBA8D" w:rsidRPr="0084485B">
        <w:rPr>
          <w:rFonts w:ascii="Times New Roman" w:hAnsi="Times New Roman" w:cs="Times New Roman"/>
        </w:rPr>
        <w:t>Conclusion</w:t>
      </w:r>
    </w:p>
    <w:p w14:paraId="61FD08FF" w14:textId="6CC2AC5B" w:rsidR="152B3DF9" w:rsidRPr="0084485B" w:rsidRDefault="152B3DF9" w:rsidP="279B0B27">
      <w:pPr>
        <w:pStyle w:val="Heading2"/>
        <w:rPr>
          <w:rFonts w:ascii="Times New Roman" w:hAnsi="Times New Roman" w:cs="Times New Roman"/>
        </w:rPr>
      </w:pPr>
      <w:r w:rsidRPr="0084485B">
        <w:rPr>
          <w:rFonts w:ascii="Times New Roman" w:hAnsi="Times New Roman" w:cs="Times New Roman"/>
        </w:rPr>
        <w:t>What we Learned</w:t>
      </w:r>
    </w:p>
    <w:p w14:paraId="6360D1F1" w14:textId="2830328E" w:rsidR="0700ADC3" w:rsidRPr="0084485B" w:rsidRDefault="0700ADC3" w:rsidP="279B0B27">
      <w:pPr>
        <w:rPr>
          <w:rFonts w:ascii="Times New Roman" w:hAnsi="Times New Roman" w:cs="Times New Roman"/>
        </w:rPr>
      </w:pPr>
      <w:r w:rsidRPr="0084485B">
        <w:rPr>
          <w:rFonts w:ascii="Times New Roman" w:hAnsi="Times New Roman" w:cs="Times New Roman"/>
        </w:rPr>
        <w:t xml:space="preserve">Through the course of this valuation project, we have learned about how the economic impact of the current economic environment, the way the industry/market prices products and services and how companies execute their business strategies will ultimately impact the value of a public company like Molson Coors. The 2025 Aluminum Tariff incident serves as a prime example of how rapidly a change in an external factor can impact an established company's overall supply chain and its cost structure. The re-setting of COGS to reflect both increases and decreases in commodity prices and the need for pricing adjustments and conservative forecast adjustments are all factors affecting the value of Molson Coors. The </w:t>
      </w:r>
      <w:r w:rsidR="2F61656F" w:rsidRPr="0084485B">
        <w:rPr>
          <w:rFonts w:ascii="Times New Roman" w:hAnsi="Times New Roman" w:cs="Times New Roman"/>
        </w:rPr>
        <w:t>d</w:t>
      </w:r>
      <w:r w:rsidRPr="0084485B">
        <w:rPr>
          <w:rFonts w:ascii="Times New Roman" w:hAnsi="Times New Roman" w:cs="Times New Roman"/>
        </w:rPr>
        <w:t xml:space="preserve">iscounted </w:t>
      </w:r>
      <w:r w:rsidR="6028285C" w:rsidRPr="0084485B">
        <w:rPr>
          <w:rFonts w:ascii="Times New Roman" w:hAnsi="Times New Roman" w:cs="Times New Roman"/>
        </w:rPr>
        <w:t>c</w:t>
      </w:r>
      <w:r w:rsidRPr="0084485B">
        <w:rPr>
          <w:rFonts w:ascii="Times New Roman" w:hAnsi="Times New Roman" w:cs="Times New Roman"/>
        </w:rPr>
        <w:t xml:space="preserve">ash </w:t>
      </w:r>
      <w:r w:rsidR="18D7F802" w:rsidRPr="0084485B">
        <w:rPr>
          <w:rFonts w:ascii="Times New Roman" w:hAnsi="Times New Roman" w:cs="Times New Roman"/>
        </w:rPr>
        <w:t>f</w:t>
      </w:r>
      <w:r w:rsidRPr="0084485B">
        <w:rPr>
          <w:rFonts w:ascii="Times New Roman" w:hAnsi="Times New Roman" w:cs="Times New Roman"/>
        </w:rPr>
        <w:t>low</w:t>
      </w:r>
      <w:r w:rsidR="24038BF8" w:rsidRPr="0084485B">
        <w:rPr>
          <w:rFonts w:ascii="Times New Roman" w:hAnsi="Times New Roman" w:cs="Times New Roman"/>
        </w:rPr>
        <w:t xml:space="preserve"> </w:t>
      </w:r>
      <w:r w:rsidRPr="0084485B">
        <w:rPr>
          <w:rFonts w:ascii="Times New Roman" w:hAnsi="Times New Roman" w:cs="Times New Roman"/>
        </w:rPr>
        <w:t xml:space="preserve">and relative frameworks provided insight into the stock market's tendency to devalue a liquor company that is perceived as being undervalued by investors in times of declining sales volumes regardless of the fact that these same companies have a solid brand name and beer production capacity and provide a dividend to shareholders. The analysis we completed highlighted the importance of using a bottom-up, patient approach in analyzing the value of a company and how this can identify significant discrepancies between the temporary pricing of stocks based on investors' feelings and the </w:t>
      </w:r>
      <w:r w:rsidR="003A5A54" w:rsidRPr="0084485B">
        <w:rPr>
          <w:rFonts w:ascii="Times New Roman" w:hAnsi="Times New Roman" w:cs="Times New Roman"/>
        </w:rPr>
        <w:t>long-term</w:t>
      </w:r>
      <w:r w:rsidRPr="0084485B">
        <w:rPr>
          <w:rFonts w:ascii="Times New Roman" w:hAnsi="Times New Roman" w:cs="Times New Roman"/>
        </w:rPr>
        <w:t xml:space="preserve"> value of stocks based on the fundamentals of a company.</w:t>
      </w:r>
    </w:p>
    <w:p w14:paraId="390A70B6" w14:textId="1EDFE22C" w:rsidR="152B3DF9" w:rsidRPr="0084485B" w:rsidRDefault="152B3DF9" w:rsidP="279B0B27">
      <w:pPr>
        <w:pStyle w:val="Heading2"/>
        <w:rPr>
          <w:rFonts w:ascii="Times New Roman" w:hAnsi="Times New Roman" w:cs="Times New Roman"/>
        </w:rPr>
      </w:pPr>
      <w:r w:rsidRPr="0084485B">
        <w:rPr>
          <w:rFonts w:ascii="Times New Roman" w:hAnsi="Times New Roman" w:cs="Times New Roman"/>
        </w:rPr>
        <w:t>Recommendation</w:t>
      </w:r>
    </w:p>
    <w:p w14:paraId="56584237" w14:textId="77777777" w:rsidR="00B006FF" w:rsidRPr="0084485B" w:rsidRDefault="00B006FF" w:rsidP="279B0B27">
      <w:pPr>
        <w:rPr>
          <w:rFonts w:ascii="Times New Roman" w:hAnsi="Times New Roman" w:cs="Times New Roman"/>
        </w:rPr>
      </w:pPr>
    </w:p>
    <w:p w14:paraId="624A5FFC" w14:textId="1FA06175" w:rsidR="009B1096" w:rsidRPr="0084485B" w:rsidRDefault="009B1096" w:rsidP="009B1096">
      <w:pPr>
        <w:rPr>
          <w:rFonts w:ascii="Times New Roman" w:hAnsi="Times New Roman" w:cs="Times New Roman"/>
        </w:rPr>
      </w:pPr>
      <w:r w:rsidRPr="0084485B">
        <w:rPr>
          <w:rFonts w:ascii="Times New Roman" w:hAnsi="Times New Roman" w:cs="Times New Roman"/>
        </w:rPr>
        <w:t xml:space="preserve">Based on our analysis across both DCF and relative valuation frameworks, we found clear evidence that Molson Coors is trading at a discount to its intrinsic value. Our DCF analysis supports an implied </w:t>
      </w:r>
      <w:r w:rsidRPr="0084485B">
        <w:rPr>
          <w:rFonts w:ascii="Times New Roman" w:hAnsi="Times New Roman" w:cs="Times New Roman"/>
        </w:rPr>
        <w:lastRenderedPageBreak/>
        <w:t>equity value range of $85–$95 per share, while the most reliable relative valuation metrics</w:t>
      </w:r>
      <w:r w:rsidR="00965276" w:rsidRPr="0084485B">
        <w:rPr>
          <w:rFonts w:ascii="Times New Roman" w:hAnsi="Times New Roman" w:cs="Times New Roman"/>
        </w:rPr>
        <w:t xml:space="preserve"> </w:t>
      </w:r>
      <w:r w:rsidRPr="0084485B">
        <w:rPr>
          <w:rFonts w:ascii="Times New Roman" w:hAnsi="Times New Roman" w:cs="Times New Roman"/>
        </w:rPr>
        <w:t xml:space="preserve">indicate a fair-value range of $75–$100 per share. Together, these methodologies support a consolidated </w:t>
      </w:r>
      <w:r w:rsidR="00186B80">
        <w:rPr>
          <w:rFonts w:ascii="Times New Roman" w:hAnsi="Times New Roman" w:cs="Times New Roman"/>
        </w:rPr>
        <w:t xml:space="preserve">final </w:t>
      </w:r>
      <w:r w:rsidRPr="0084485B">
        <w:rPr>
          <w:rFonts w:ascii="Times New Roman" w:hAnsi="Times New Roman" w:cs="Times New Roman"/>
        </w:rPr>
        <w:t xml:space="preserve">valuation range of $80–$100 per share, well above the company’s valuation-date trading price </w:t>
      </w:r>
      <w:r w:rsidR="008B1427">
        <w:rPr>
          <w:rFonts w:ascii="Times New Roman" w:hAnsi="Times New Roman" w:cs="Times New Roman"/>
        </w:rPr>
        <w:t>around $45</w:t>
      </w:r>
      <w:r w:rsidRPr="0084485B">
        <w:rPr>
          <w:rFonts w:ascii="Times New Roman" w:hAnsi="Times New Roman" w:cs="Times New Roman"/>
        </w:rPr>
        <w:t xml:space="preserve">. This substantial gap suggests an asymmetric </w:t>
      </w:r>
      <w:r w:rsidR="005A4006" w:rsidRPr="0084485B">
        <w:rPr>
          <w:rFonts w:ascii="Times New Roman" w:hAnsi="Times New Roman" w:cs="Times New Roman"/>
        </w:rPr>
        <w:t xml:space="preserve">upside </w:t>
      </w:r>
      <w:r w:rsidR="003A6D9C" w:rsidRPr="0084485B">
        <w:rPr>
          <w:rFonts w:ascii="Times New Roman" w:hAnsi="Times New Roman" w:cs="Times New Roman"/>
        </w:rPr>
        <w:t xml:space="preserve">of </w:t>
      </w:r>
      <w:r w:rsidRPr="0084485B">
        <w:rPr>
          <w:rFonts w:ascii="Times New Roman" w:hAnsi="Times New Roman" w:cs="Times New Roman"/>
        </w:rPr>
        <w:t>risk/reward for long-term investors.</w:t>
      </w:r>
    </w:p>
    <w:p w14:paraId="7967B8B0" w14:textId="1BFE0B83" w:rsidR="009B1096" w:rsidRPr="0084485B" w:rsidRDefault="009B1096" w:rsidP="009B1096">
      <w:pPr>
        <w:rPr>
          <w:rFonts w:ascii="Times New Roman" w:hAnsi="Times New Roman" w:cs="Times New Roman"/>
        </w:rPr>
      </w:pPr>
      <w:r w:rsidRPr="0084485B">
        <w:rPr>
          <w:rFonts w:ascii="Times New Roman" w:hAnsi="Times New Roman" w:cs="Times New Roman"/>
        </w:rPr>
        <w:t xml:space="preserve">Molson Coors benefits from a portfolio of iconic brands, a strong North American brewery and distribution footprint, expanding exposure to premium and beyond-beer categories, and stable free cash flow generation. Despite </w:t>
      </w:r>
      <w:r w:rsidR="00684F9D" w:rsidRPr="0084485B">
        <w:rPr>
          <w:rFonts w:ascii="Times New Roman" w:hAnsi="Times New Roman" w:cs="Times New Roman"/>
        </w:rPr>
        <w:t>short</w:t>
      </w:r>
      <w:r w:rsidRPr="0084485B">
        <w:rPr>
          <w:rFonts w:ascii="Times New Roman" w:hAnsi="Times New Roman" w:cs="Times New Roman"/>
        </w:rPr>
        <w:t>-term challenges</w:t>
      </w:r>
      <w:r w:rsidR="00684F9D" w:rsidRPr="0084485B">
        <w:rPr>
          <w:rFonts w:ascii="Times New Roman" w:hAnsi="Times New Roman" w:cs="Times New Roman"/>
        </w:rPr>
        <w:t xml:space="preserve"> </w:t>
      </w:r>
      <w:r w:rsidRPr="0084485B">
        <w:rPr>
          <w:rFonts w:ascii="Times New Roman" w:hAnsi="Times New Roman" w:cs="Times New Roman"/>
        </w:rPr>
        <w:t>including industry-wide volume softness, input-cost volatility, and leadership transition</w:t>
      </w:r>
      <w:r w:rsidR="00684F9D" w:rsidRPr="0084485B">
        <w:rPr>
          <w:rFonts w:ascii="Times New Roman" w:hAnsi="Times New Roman" w:cs="Times New Roman"/>
        </w:rPr>
        <w:t xml:space="preserve">, </w:t>
      </w:r>
      <w:r w:rsidRPr="0084485B">
        <w:rPr>
          <w:rFonts w:ascii="Times New Roman" w:hAnsi="Times New Roman" w:cs="Times New Roman"/>
        </w:rPr>
        <w:t>our analysis indicates that these risks are already more than reflected in the current market price. As margins stabilize and brand investments continue to support premiumization, Molson Coors</w:t>
      </w:r>
      <w:r w:rsidR="00572AB6" w:rsidRPr="0084485B">
        <w:rPr>
          <w:rFonts w:ascii="Times New Roman" w:hAnsi="Times New Roman" w:cs="Times New Roman"/>
        </w:rPr>
        <w:t>’ trading value</w:t>
      </w:r>
      <w:r w:rsidRPr="0084485B">
        <w:rPr>
          <w:rFonts w:ascii="Times New Roman" w:hAnsi="Times New Roman" w:cs="Times New Roman"/>
        </w:rPr>
        <w:t xml:space="preserve"> has the potential to </w:t>
      </w:r>
      <w:r w:rsidR="00F61C7E" w:rsidRPr="0084485B">
        <w:rPr>
          <w:rFonts w:ascii="Times New Roman" w:hAnsi="Times New Roman" w:cs="Times New Roman"/>
        </w:rPr>
        <w:t>move</w:t>
      </w:r>
      <w:r w:rsidRPr="0084485B">
        <w:rPr>
          <w:rFonts w:ascii="Times New Roman" w:hAnsi="Times New Roman" w:cs="Times New Roman"/>
        </w:rPr>
        <w:t xml:space="preserve"> toward </w:t>
      </w:r>
      <w:r w:rsidR="00F61C7E" w:rsidRPr="0084485B">
        <w:rPr>
          <w:rFonts w:ascii="Times New Roman" w:hAnsi="Times New Roman" w:cs="Times New Roman"/>
        </w:rPr>
        <w:t>our projected</w:t>
      </w:r>
      <w:r w:rsidRPr="0084485B">
        <w:rPr>
          <w:rFonts w:ascii="Times New Roman" w:hAnsi="Times New Roman" w:cs="Times New Roman"/>
        </w:rPr>
        <w:t xml:space="preserve"> value range.</w:t>
      </w:r>
    </w:p>
    <w:p w14:paraId="751E49AE" w14:textId="2B251D9F" w:rsidR="00B006FF" w:rsidRPr="0084485B" w:rsidRDefault="009B1096" w:rsidP="009B1096">
      <w:pPr>
        <w:rPr>
          <w:rFonts w:ascii="Times New Roman" w:hAnsi="Times New Roman" w:cs="Times New Roman"/>
        </w:rPr>
      </w:pPr>
      <w:r w:rsidRPr="0084485B">
        <w:rPr>
          <w:rFonts w:ascii="Times New Roman" w:hAnsi="Times New Roman" w:cs="Times New Roman"/>
        </w:rPr>
        <w:t xml:space="preserve">Given the company’s </w:t>
      </w:r>
      <w:r w:rsidR="00EB3B3D" w:rsidRPr="0084485B">
        <w:rPr>
          <w:rFonts w:ascii="Times New Roman" w:hAnsi="Times New Roman" w:cs="Times New Roman"/>
        </w:rPr>
        <w:t>operational structure</w:t>
      </w:r>
      <w:r w:rsidRPr="0084485B">
        <w:rPr>
          <w:rFonts w:ascii="Times New Roman" w:hAnsi="Times New Roman" w:cs="Times New Roman"/>
        </w:rPr>
        <w:t>, resilient cash-flow profile, and significant valuation discount relative to both historical averages and peers, we recommend a Strong Buy rating. We believe the current share price represents an attractive entry point for investors seeking high-quality, cash-generating exposure within the global beverage sector.</w:t>
      </w:r>
    </w:p>
    <w:p w14:paraId="4C2743D5" w14:textId="79A1A91B" w:rsidR="1E44AC77" w:rsidRPr="0084485B" w:rsidRDefault="1E44AC77" w:rsidP="6D484AD6">
      <w:pPr>
        <w:pStyle w:val="Heading1"/>
        <w:rPr>
          <w:rFonts w:ascii="Times New Roman" w:hAnsi="Times New Roman" w:cs="Times New Roman"/>
        </w:rPr>
      </w:pPr>
      <w:r w:rsidRPr="0084485B">
        <w:rPr>
          <w:rFonts w:ascii="Times New Roman" w:hAnsi="Times New Roman" w:cs="Times New Roman"/>
        </w:rPr>
        <w:t xml:space="preserve">10. </w:t>
      </w:r>
      <w:r w:rsidR="3BA95136" w:rsidRPr="0084485B">
        <w:rPr>
          <w:rFonts w:ascii="Times New Roman" w:hAnsi="Times New Roman" w:cs="Times New Roman"/>
        </w:rPr>
        <w:t xml:space="preserve">Exhibits and </w:t>
      </w:r>
      <w:r w:rsidR="00911AFE" w:rsidRPr="0084485B">
        <w:rPr>
          <w:rFonts w:ascii="Times New Roman" w:hAnsi="Times New Roman" w:cs="Times New Roman"/>
        </w:rPr>
        <w:t>Works Cited</w:t>
      </w:r>
    </w:p>
    <w:p w14:paraId="7AA30AB8" w14:textId="59A76777" w:rsidR="5C8BAA6F" w:rsidRPr="0084485B" w:rsidRDefault="5C8BAA6F" w:rsidP="6D484AD6">
      <w:pPr>
        <w:pStyle w:val="Heading2"/>
        <w:rPr>
          <w:rFonts w:ascii="Times New Roman" w:hAnsi="Times New Roman" w:cs="Times New Roman"/>
        </w:rPr>
      </w:pPr>
      <w:r w:rsidRPr="0084485B">
        <w:rPr>
          <w:rFonts w:ascii="Times New Roman" w:hAnsi="Times New Roman" w:cs="Times New Roman"/>
        </w:rPr>
        <w:t>Exhibits</w:t>
      </w:r>
    </w:p>
    <w:p w14:paraId="30CE131A" w14:textId="77777777" w:rsidR="001847D3" w:rsidRDefault="001847D3" w:rsidP="001847D3">
      <w:pPr>
        <w:spacing w:after="0" w:line="360" w:lineRule="auto"/>
        <w:ind w:firstLine="0"/>
        <w:rPr>
          <w:rFonts w:ascii="Times New Roman" w:hAnsi="Times New Roman" w:cs="Times New Roman"/>
        </w:rPr>
      </w:pPr>
    </w:p>
    <w:p w14:paraId="790CA0AA" w14:textId="39EFC1B9" w:rsidR="02371209" w:rsidRPr="00BA0786" w:rsidRDefault="0084485B" w:rsidP="00BA0786">
      <w:pPr>
        <w:spacing w:after="0" w:line="360" w:lineRule="auto"/>
        <w:ind w:firstLine="0"/>
        <w:rPr>
          <w:rFonts w:ascii="Times New Roman" w:hAnsi="Times New Roman" w:cs="Times New Roman"/>
        </w:rPr>
      </w:pPr>
      <w:r>
        <w:rPr>
          <w:rFonts w:ascii="Times New Roman" w:hAnsi="Times New Roman" w:cs="Times New Roman"/>
        </w:rPr>
        <w:lastRenderedPageBreak/>
        <w:t>Exhibit 1</w:t>
      </w:r>
      <w:r w:rsidR="00BD6278">
        <w:rPr>
          <w:rFonts w:ascii="Times New Roman" w:hAnsi="Times New Roman" w:cs="Times New Roman"/>
        </w:rPr>
        <w:t xml:space="preserve">: </w:t>
      </w:r>
      <w:r w:rsidR="001847D3">
        <w:rPr>
          <w:rFonts w:ascii="Times New Roman" w:hAnsi="Times New Roman" w:cs="Times New Roman"/>
        </w:rPr>
        <w:t>Income Statement of TA</w:t>
      </w:r>
      <w:r w:rsidR="00BA0786">
        <w:rPr>
          <w:rFonts w:ascii="Times New Roman" w:hAnsi="Times New Roman" w:cs="Times New Roman"/>
        </w:rPr>
        <w:t>P</w:t>
      </w:r>
      <w:r w:rsidR="02371209" w:rsidRPr="0084485B">
        <w:rPr>
          <w:rFonts w:ascii="Times New Roman" w:hAnsi="Times New Roman" w:cs="Times New Roman"/>
          <w:noProof/>
        </w:rPr>
        <w:drawing>
          <wp:inline distT="0" distB="0" distL="0" distR="0" wp14:anchorId="029B7392" wp14:editId="6CABC8E4">
            <wp:extent cx="5943600" cy="2324100"/>
            <wp:effectExtent l="0" t="0" r="0" b="0"/>
            <wp:docPr id="1157297277" name="drawing" title="A screenshot of a graph&#10;&#10;AI-generated content may be incorrect.">
              <a:extLst xmlns:a="http://schemas.openxmlformats.org/drawingml/2006/main">
                <a:ext uri="{FF2B5EF4-FFF2-40B4-BE49-F238E27FC236}">
                  <a16:creationId xmlns:a16="http://schemas.microsoft.com/office/drawing/2014/main" id="{7A8827B2-6FF8-4E90-A777-B721B0A2A4F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297277" name="Picture 1157297277"/>
                    <pic:cNvPicPr/>
                  </pic:nvPicPr>
                  <pic:blipFill>
                    <a:blip r:embed="rId7">
                      <a:extLst>
                        <a:ext uri="{28A0092B-C50C-407E-A947-70E740481C1C}">
                          <a14:useLocalDpi xmlns:a14="http://schemas.microsoft.com/office/drawing/2010/main"/>
                        </a:ext>
                      </a:extLst>
                    </a:blip>
                    <a:stretch>
                      <a:fillRect/>
                    </a:stretch>
                  </pic:blipFill>
                  <pic:spPr>
                    <a:xfrm>
                      <a:off x="0" y="0"/>
                      <a:ext cx="5943600" cy="2324100"/>
                    </a:xfrm>
                    <a:prstGeom prst="rect">
                      <a:avLst/>
                    </a:prstGeom>
                  </pic:spPr>
                </pic:pic>
              </a:graphicData>
            </a:graphic>
          </wp:inline>
        </w:drawing>
      </w:r>
    </w:p>
    <w:p w14:paraId="0D47481F" w14:textId="77777777" w:rsidR="00BA0786" w:rsidRDefault="00BA0786" w:rsidP="001847D3">
      <w:pPr>
        <w:spacing w:after="0"/>
        <w:ind w:firstLine="0"/>
        <w:rPr>
          <w:rFonts w:ascii="Times New Roman" w:eastAsia="Times" w:hAnsi="Times New Roman" w:cs="Times New Roman"/>
          <w:color w:val="000000" w:themeColor="text1"/>
        </w:rPr>
      </w:pPr>
    </w:p>
    <w:p w14:paraId="4139AD27" w14:textId="13DE0C84" w:rsidR="00911AFE" w:rsidRDefault="001847D3" w:rsidP="001847D3">
      <w:pPr>
        <w:spacing w:after="0"/>
        <w:ind w:firstLine="0"/>
        <w:rPr>
          <w:rFonts w:ascii="Times New Roman" w:eastAsia="Times" w:hAnsi="Times New Roman" w:cs="Times New Roman"/>
          <w:color w:val="000000" w:themeColor="text1"/>
        </w:rPr>
      </w:pPr>
      <w:r>
        <w:rPr>
          <w:rFonts w:ascii="Times New Roman" w:eastAsia="Times" w:hAnsi="Times New Roman" w:cs="Times New Roman"/>
          <w:color w:val="000000" w:themeColor="text1"/>
        </w:rPr>
        <w:t>Exhibit 2: Common Size Analysis of 2024 Balance Sheet: Total Asset</w:t>
      </w:r>
      <w:r w:rsidR="00BA0786">
        <w:rPr>
          <w:rFonts w:ascii="Times New Roman" w:eastAsia="Times" w:hAnsi="Times New Roman" w:cs="Times New Roman"/>
          <w:color w:val="000000" w:themeColor="text1"/>
        </w:rPr>
        <w:t>s</w:t>
      </w:r>
      <w:r w:rsidR="77CDAF97" w:rsidRPr="0084485B">
        <w:rPr>
          <w:rFonts w:ascii="Times New Roman" w:hAnsi="Times New Roman" w:cs="Times New Roman"/>
          <w:noProof/>
        </w:rPr>
        <w:drawing>
          <wp:inline distT="0" distB="0" distL="0" distR="0" wp14:anchorId="4C605AE5" wp14:editId="0AAB6D58">
            <wp:extent cx="3424687" cy="2799023"/>
            <wp:effectExtent l="0" t="0" r="4445" b="0"/>
            <wp:docPr id="390974909" name="drawing">
              <a:extLst xmlns:a="http://schemas.openxmlformats.org/drawingml/2006/main">
                <a:ext uri="{FF2B5EF4-FFF2-40B4-BE49-F238E27FC236}">
                  <a16:creationId xmlns:a16="http://schemas.microsoft.com/office/drawing/2014/main" id="{71427936-C4F1-4AB7-AB41-8CC8703E19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974909" name=""/>
                    <pic:cNvPicPr/>
                  </pic:nvPicPr>
                  <pic:blipFill>
                    <a:blip r:embed="rId8">
                      <a:extLst>
                        <a:ext uri="{28A0092B-C50C-407E-A947-70E740481C1C}">
                          <a14:useLocalDpi xmlns:a14="http://schemas.microsoft.com/office/drawing/2010/main"/>
                        </a:ext>
                      </a:extLst>
                    </a:blip>
                    <a:stretch>
                      <a:fillRect/>
                    </a:stretch>
                  </pic:blipFill>
                  <pic:spPr>
                    <a:xfrm>
                      <a:off x="0" y="0"/>
                      <a:ext cx="3538297" cy="2891877"/>
                    </a:xfrm>
                    <a:prstGeom prst="rect">
                      <a:avLst/>
                    </a:prstGeom>
                  </pic:spPr>
                </pic:pic>
              </a:graphicData>
            </a:graphic>
          </wp:inline>
        </w:drawing>
      </w:r>
    </w:p>
    <w:p w14:paraId="14F2B009" w14:textId="1663F446" w:rsidR="00911AFE" w:rsidRDefault="001847D3" w:rsidP="00B82FE5">
      <w:pPr>
        <w:spacing w:after="0"/>
        <w:ind w:firstLine="0"/>
        <w:rPr>
          <w:rFonts w:ascii="Times New Roman" w:eastAsia="Times" w:hAnsi="Times New Roman" w:cs="Times New Roman"/>
          <w:color w:val="000000" w:themeColor="text1"/>
        </w:rPr>
      </w:pPr>
      <w:r>
        <w:rPr>
          <w:rFonts w:ascii="Times New Roman" w:eastAsia="Times" w:hAnsi="Times New Roman" w:cs="Times New Roman"/>
          <w:color w:val="000000" w:themeColor="text1"/>
        </w:rPr>
        <w:lastRenderedPageBreak/>
        <w:t xml:space="preserve">Exhibit 3: </w:t>
      </w:r>
      <w:r w:rsidR="00B82FE5">
        <w:rPr>
          <w:rFonts w:ascii="Times New Roman" w:eastAsia="Times" w:hAnsi="Times New Roman" w:cs="Times New Roman"/>
          <w:color w:val="000000" w:themeColor="text1"/>
        </w:rPr>
        <w:t>Molson Coors vs Peer Average</w:t>
      </w:r>
      <w:r>
        <w:rPr>
          <w:rFonts w:ascii="Times New Roman" w:eastAsia="Times" w:hAnsi="Times New Roman" w:cs="Times New Roman"/>
          <w:color w:val="000000" w:themeColor="text1"/>
        </w:rPr>
        <w:t xml:space="preserve"> Efficiency Ratio</w:t>
      </w:r>
      <w:r w:rsidR="00BA0786">
        <w:rPr>
          <w:rFonts w:ascii="Times New Roman" w:eastAsia="Times" w:hAnsi="Times New Roman" w:cs="Times New Roman"/>
          <w:color w:val="000000" w:themeColor="text1"/>
        </w:rPr>
        <w:t>s</w:t>
      </w:r>
      <w:r w:rsidR="4CF5BD87" w:rsidRPr="0084485B">
        <w:rPr>
          <w:rFonts w:ascii="Times New Roman" w:hAnsi="Times New Roman" w:cs="Times New Roman"/>
          <w:noProof/>
        </w:rPr>
        <w:drawing>
          <wp:inline distT="0" distB="0" distL="0" distR="0" wp14:anchorId="4A2CF886" wp14:editId="1ED7AE6F">
            <wp:extent cx="4887406" cy="2984137"/>
            <wp:effectExtent l="0" t="0" r="0" b="0"/>
            <wp:docPr id="628387334" name="drawing" title="A graph of efficiency rates&#10;&#10;AI-generated content may be incorrect.">
              <a:extLst xmlns:a="http://schemas.openxmlformats.org/drawingml/2006/main">
                <a:ext uri="{FF2B5EF4-FFF2-40B4-BE49-F238E27FC236}">
                  <a16:creationId xmlns:a16="http://schemas.microsoft.com/office/drawing/2014/main" id="{93390F7E-DA98-4BB5-AA34-0433853687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387334" name="Picture 628387334"/>
                    <pic:cNvPicPr/>
                  </pic:nvPicPr>
                  <pic:blipFill>
                    <a:blip r:embed="rId9">
                      <a:extLst>
                        <a:ext uri="{28A0092B-C50C-407E-A947-70E740481C1C}">
                          <a14:useLocalDpi xmlns:a14="http://schemas.microsoft.com/office/drawing/2010/main"/>
                        </a:ext>
                      </a:extLst>
                    </a:blip>
                    <a:stretch>
                      <a:fillRect/>
                    </a:stretch>
                  </pic:blipFill>
                  <pic:spPr>
                    <a:xfrm>
                      <a:off x="0" y="0"/>
                      <a:ext cx="4887406" cy="2984137"/>
                    </a:xfrm>
                    <a:prstGeom prst="rect">
                      <a:avLst/>
                    </a:prstGeom>
                  </pic:spPr>
                </pic:pic>
              </a:graphicData>
            </a:graphic>
          </wp:inline>
        </w:drawing>
      </w:r>
    </w:p>
    <w:p w14:paraId="0517FFF4" w14:textId="44A04C3C" w:rsidR="00911AFE" w:rsidRDefault="00B82FE5" w:rsidP="00A53C47">
      <w:pPr>
        <w:spacing w:after="0"/>
        <w:ind w:firstLine="0"/>
        <w:rPr>
          <w:rFonts w:ascii="Times New Roman" w:eastAsia="Times" w:hAnsi="Times New Roman" w:cs="Times New Roman"/>
          <w:color w:val="000000" w:themeColor="text1"/>
        </w:rPr>
      </w:pPr>
      <w:r>
        <w:rPr>
          <w:rFonts w:ascii="Times New Roman" w:eastAsia="Times" w:hAnsi="Times New Roman" w:cs="Times New Roman"/>
          <w:color w:val="000000" w:themeColor="text1"/>
        </w:rPr>
        <w:t>Exhibit 4: Global Market Cap of Alcoholic Beverage Industry by Yea</w:t>
      </w:r>
      <w:r w:rsidR="00BA0786">
        <w:rPr>
          <w:rFonts w:ascii="Times New Roman" w:eastAsia="Times" w:hAnsi="Times New Roman" w:cs="Times New Roman"/>
          <w:color w:val="000000" w:themeColor="text1"/>
        </w:rPr>
        <w:t>r</w:t>
      </w:r>
      <w:r w:rsidR="0CCCF8CA" w:rsidRPr="0084485B">
        <w:rPr>
          <w:rFonts w:ascii="Times New Roman" w:hAnsi="Times New Roman" w:cs="Times New Roman"/>
          <w:noProof/>
        </w:rPr>
        <w:drawing>
          <wp:inline distT="0" distB="0" distL="0" distR="0" wp14:anchorId="48918382" wp14:editId="2B0AE3E0">
            <wp:extent cx="5047989" cy="2952750"/>
            <wp:effectExtent l="0" t="0" r="0" b="0"/>
            <wp:docPr id="1363698238" name="drawing" title="A bar graph with numbers and a bar chart&#10;&#10;AI-generated content may be incorrect.">
              <a:extLst xmlns:a="http://schemas.openxmlformats.org/drawingml/2006/main">
                <a:ext uri="{FF2B5EF4-FFF2-40B4-BE49-F238E27FC236}">
                  <a16:creationId xmlns:a16="http://schemas.microsoft.com/office/drawing/2014/main" id="{A7CC1EDD-B740-4168-8A06-34CFFECBBE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698238" name="Picture 1363698238"/>
                    <pic:cNvPicPr/>
                  </pic:nvPicPr>
                  <pic:blipFill>
                    <a:blip r:embed="rId10">
                      <a:extLst>
                        <a:ext uri="{28A0092B-C50C-407E-A947-70E740481C1C}">
                          <a14:useLocalDpi xmlns:a14="http://schemas.microsoft.com/office/drawing/2010/main"/>
                        </a:ext>
                      </a:extLst>
                    </a:blip>
                    <a:stretch>
                      <a:fillRect/>
                    </a:stretch>
                  </pic:blipFill>
                  <pic:spPr>
                    <a:xfrm>
                      <a:off x="0" y="0"/>
                      <a:ext cx="5047989" cy="2952750"/>
                    </a:xfrm>
                    <a:prstGeom prst="rect">
                      <a:avLst/>
                    </a:prstGeom>
                  </pic:spPr>
                </pic:pic>
              </a:graphicData>
            </a:graphic>
          </wp:inline>
        </w:drawing>
      </w:r>
    </w:p>
    <w:p w14:paraId="39DC625F" w14:textId="172141BF" w:rsidR="00A53C47" w:rsidRDefault="00B82FE5" w:rsidP="00A53C47">
      <w:pPr>
        <w:spacing w:after="0"/>
        <w:ind w:firstLine="0"/>
        <w:rPr>
          <w:rFonts w:ascii="Times New Roman" w:eastAsia="Times" w:hAnsi="Times New Roman" w:cs="Times New Roman"/>
          <w:color w:val="000000" w:themeColor="text1"/>
        </w:rPr>
      </w:pPr>
      <w:r>
        <w:rPr>
          <w:rFonts w:ascii="Times New Roman" w:eastAsia="Times" w:hAnsi="Times New Roman" w:cs="Times New Roman"/>
          <w:color w:val="000000" w:themeColor="text1"/>
        </w:rPr>
        <w:lastRenderedPageBreak/>
        <w:t xml:space="preserve">Exhibit 5: </w:t>
      </w:r>
      <w:r w:rsidR="00A53C47">
        <w:rPr>
          <w:rFonts w:ascii="Times New Roman" w:eastAsia="Times" w:hAnsi="Times New Roman" w:cs="Times New Roman"/>
          <w:color w:val="000000" w:themeColor="text1"/>
        </w:rPr>
        <w:t>DCF Base (2024) vs Target (2029) Assumption</w:t>
      </w:r>
      <w:r w:rsidR="00BA0786">
        <w:rPr>
          <w:rFonts w:ascii="Times New Roman" w:eastAsia="Times" w:hAnsi="Times New Roman" w:cs="Times New Roman"/>
          <w:color w:val="000000" w:themeColor="text1"/>
        </w:rPr>
        <w:t>s</w:t>
      </w:r>
      <w:r w:rsidRPr="0084485B">
        <w:rPr>
          <w:rFonts w:ascii="Times New Roman" w:hAnsi="Times New Roman" w:cs="Times New Roman"/>
          <w:noProof/>
        </w:rPr>
        <w:drawing>
          <wp:inline distT="0" distB="0" distL="0" distR="0" wp14:anchorId="5E213BC7" wp14:editId="6193E796">
            <wp:extent cx="5943600" cy="3000375"/>
            <wp:effectExtent l="0" t="0" r="0" b="0"/>
            <wp:docPr id="1496494935" name="drawing" descr="A graph of blue and white bars&#10;&#10;AI-generated content may be incorrect.">
              <a:extLst xmlns:a="http://schemas.openxmlformats.org/drawingml/2006/main">
                <a:ext uri="{FF2B5EF4-FFF2-40B4-BE49-F238E27FC236}">
                  <a16:creationId xmlns:a16="http://schemas.microsoft.com/office/drawing/2014/main" id="{D5D13E16-B17C-4D47-94DC-E053AA2B68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494935" name="drawing" descr="A graph of blue and white bar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000375"/>
                    </a:xfrm>
                    <a:prstGeom prst="rect">
                      <a:avLst/>
                    </a:prstGeom>
                  </pic:spPr>
                </pic:pic>
              </a:graphicData>
            </a:graphic>
          </wp:inline>
        </w:drawing>
      </w:r>
    </w:p>
    <w:p w14:paraId="38F185DE" w14:textId="7990969F" w:rsidR="00A53C47" w:rsidRDefault="00A53C47" w:rsidP="00A53C47">
      <w:pPr>
        <w:spacing w:after="0"/>
        <w:ind w:firstLine="0"/>
        <w:rPr>
          <w:rFonts w:ascii="Times New Roman" w:eastAsia="Times" w:hAnsi="Times New Roman" w:cs="Times New Roman"/>
          <w:color w:val="000000" w:themeColor="text1"/>
        </w:rPr>
      </w:pPr>
      <w:r>
        <w:rPr>
          <w:rFonts w:ascii="Times New Roman" w:eastAsia="Times" w:hAnsi="Times New Roman" w:cs="Times New Roman"/>
          <w:color w:val="000000" w:themeColor="text1"/>
        </w:rPr>
        <w:t>Exhibit 6:</w:t>
      </w:r>
      <w:r w:rsidR="00D935D0">
        <w:rPr>
          <w:rFonts w:ascii="Times New Roman" w:eastAsia="Times" w:hAnsi="Times New Roman" w:cs="Times New Roman"/>
          <w:color w:val="000000" w:themeColor="text1"/>
        </w:rPr>
        <w:t xml:space="preserve"> </w:t>
      </w:r>
      <w:r w:rsidR="003646D1">
        <w:rPr>
          <w:rFonts w:ascii="Times New Roman" w:eastAsia="Times" w:hAnsi="Times New Roman" w:cs="Times New Roman"/>
          <w:color w:val="000000" w:themeColor="text1"/>
        </w:rPr>
        <w:t xml:space="preserve">Sensitivity Analysis of </w:t>
      </w:r>
      <w:r w:rsidR="008D14AE">
        <w:rPr>
          <w:rFonts w:ascii="Times New Roman" w:eastAsia="Times" w:hAnsi="Times New Roman" w:cs="Times New Roman"/>
          <w:color w:val="000000" w:themeColor="text1"/>
        </w:rPr>
        <w:t xml:space="preserve">Implied Equity Value per Share based </w:t>
      </w:r>
      <w:r w:rsidR="00AE1CD2">
        <w:rPr>
          <w:rFonts w:ascii="Times New Roman" w:eastAsia="Times" w:hAnsi="Times New Roman" w:cs="Times New Roman"/>
          <w:color w:val="000000" w:themeColor="text1"/>
        </w:rPr>
        <w:t xml:space="preserve">on </w:t>
      </w:r>
      <w:r w:rsidR="003646D1">
        <w:rPr>
          <w:rFonts w:ascii="Times New Roman" w:eastAsia="Times" w:hAnsi="Times New Roman" w:cs="Times New Roman"/>
          <w:color w:val="000000" w:themeColor="text1"/>
        </w:rPr>
        <w:t>WACC (top row) vs Terminal Value (left column</w:t>
      </w:r>
      <w:r w:rsidR="00BA0786">
        <w:rPr>
          <w:rFonts w:ascii="Times New Roman" w:eastAsia="Times" w:hAnsi="Times New Roman" w:cs="Times New Roman"/>
          <w:color w:val="000000" w:themeColor="text1"/>
        </w:rPr>
        <w:t>)</w:t>
      </w:r>
      <w:r w:rsidR="3ED7EED2" w:rsidRPr="0084485B">
        <w:rPr>
          <w:rFonts w:ascii="Times New Roman" w:hAnsi="Times New Roman" w:cs="Times New Roman"/>
          <w:noProof/>
        </w:rPr>
        <w:drawing>
          <wp:inline distT="0" distB="0" distL="0" distR="0" wp14:anchorId="01958C5C" wp14:editId="7B4F86EE">
            <wp:extent cx="5943600" cy="1200150"/>
            <wp:effectExtent l="0" t="0" r="0" b="0"/>
            <wp:docPr id="2126099972" name="drawing">
              <a:extLst xmlns:a="http://schemas.openxmlformats.org/drawingml/2006/main">
                <a:ext uri="{FF2B5EF4-FFF2-40B4-BE49-F238E27FC236}">
                  <a16:creationId xmlns:a16="http://schemas.microsoft.com/office/drawing/2014/main" id="{E930BF62-DBA5-4E6E-9904-ED0BD84CA7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099972"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1200150"/>
                    </a:xfrm>
                    <a:prstGeom prst="rect">
                      <a:avLst/>
                    </a:prstGeom>
                  </pic:spPr>
                </pic:pic>
              </a:graphicData>
            </a:graphic>
          </wp:inline>
        </w:drawing>
      </w:r>
    </w:p>
    <w:p w14:paraId="2CA56E42" w14:textId="4EADFEC3" w:rsidR="00911AFE" w:rsidRPr="0084485B" w:rsidRDefault="00AE1CD2" w:rsidP="00A53C47">
      <w:pPr>
        <w:spacing w:after="0"/>
        <w:ind w:firstLine="0"/>
        <w:rPr>
          <w:rFonts w:ascii="Times New Roman" w:eastAsia="Times" w:hAnsi="Times New Roman" w:cs="Times New Roman"/>
          <w:color w:val="000000" w:themeColor="text1"/>
        </w:rPr>
      </w:pPr>
      <w:r>
        <w:rPr>
          <w:rFonts w:ascii="Times New Roman" w:eastAsia="Times" w:hAnsi="Times New Roman" w:cs="Times New Roman"/>
          <w:color w:val="000000" w:themeColor="text1"/>
        </w:rPr>
        <w:lastRenderedPageBreak/>
        <w:t>Exhibit 7: Impact of Aluminum Tariffs on Midwest Premiu</w:t>
      </w:r>
      <w:r w:rsidR="00BA0786">
        <w:rPr>
          <w:rFonts w:ascii="Times New Roman" w:eastAsia="Times" w:hAnsi="Times New Roman" w:cs="Times New Roman"/>
          <w:color w:val="000000" w:themeColor="text1"/>
        </w:rPr>
        <w:t>m</w:t>
      </w:r>
      <w:r w:rsidR="38B79350" w:rsidRPr="0084485B">
        <w:rPr>
          <w:rFonts w:ascii="Times New Roman" w:hAnsi="Times New Roman" w:cs="Times New Roman"/>
          <w:noProof/>
        </w:rPr>
        <w:drawing>
          <wp:inline distT="0" distB="0" distL="0" distR="0" wp14:anchorId="752899BA" wp14:editId="0237E20B">
            <wp:extent cx="5321078" cy="3419475"/>
            <wp:effectExtent l="0" t="0" r="0" b="0"/>
            <wp:docPr id="483833610" name="drawing" title="Generated Image">
              <a:extLst xmlns:a="http://schemas.openxmlformats.org/drawingml/2006/main">
                <a:ext uri="{FF2B5EF4-FFF2-40B4-BE49-F238E27FC236}">
                  <a16:creationId xmlns:a16="http://schemas.microsoft.com/office/drawing/2014/main" id="{DDE25931-34D2-424C-90C4-431264A503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833610" name="Picture 483833610"/>
                    <pic:cNvPicPr/>
                  </pic:nvPicPr>
                  <pic:blipFill>
                    <a:blip r:embed="rId13">
                      <a:extLst>
                        <a:ext uri="{28A0092B-C50C-407E-A947-70E740481C1C}">
                          <a14:useLocalDpi xmlns:a14="http://schemas.microsoft.com/office/drawing/2010/main"/>
                        </a:ext>
                      </a:extLst>
                    </a:blip>
                    <a:stretch>
                      <a:fillRect/>
                    </a:stretch>
                  </pic:blipFill>
                  <pic:spPr>
                    <a:xfrm>
                      <a:off x="0" y="0"/>
                      <a:ext cx="5321078" cy="3419475"/>
                    </a:xfrm>
                    <a:prstGeom prst="rect">
                      <a:avLst/>
                    </a:prstGeom>
                  </pic:spPr>
                </pic:pic>
              </a:graphicData>
            </a:graphic>
          </wp:inline>
        </w:drawing>
      </w:r>
    </w:p>
    <w:p w14:paraId="62161E5E" w14:textId="77777777" w:rsidR="00AB635A" w:rsidRDefault="00AB635A" w:rsidP="6D484AD6">
      <w:pPr>
        <w:ind w:firstLine="0"/>
        <w:rPr>
          <w:rFonts w:ascii="Times New Roman" w:hAnsi="Times New Roman" w:cs="Times New Roman"/>
        </w:rPr>
      </w:pPr>
    </w:p>
    <w:p w14:paraId="4DEE48B2" w14:textId="77777777" w:rsidR="00973006" w:rsidRDefault="00973006" w:rsidP="6D484AD6">
      <w:pPr>
        <w:ind w:firstLine="0"/>
        <w:rPr>
          <w:rFonts w:ascii="Times New Roman" w:hAnsi="Times New Roman" w:cs="Times New Roman"/>
        </w:rPr>
      </w:pPr>
    </w:p>
    <w:p w14:paraId="27AFF2C8" w14:textId="77777777" w:rsidR="00973006" w:rsidRDefault="00973006" w:rsidP="6D484AD6">
      <w:pPr>
        <w:ind w:firstLine="0"/>
        <w:rPr>
          <w:rFonts w:ascii="Times New Roman" w:hAnsi="Times New Roman" w:cs="Times New Roman"/>
        </w:rPr>
      </w:pPr>
    </w:p>
    <w:p w14:paraId="6E95893E" w14:textId="77777777" w:rsidR="00973006" w:rsidRDefault="00973006" w:rsidP="6D484AD6">
      <w:pPr>
        <w:ind w:firstLine="0"/>
        <w:rPr>
          <w:rFonts w:ascii="Times New Roman" w:hAnsi="Times New Roman" w:cs="Times New Roman"/>
        </w:rPr>
      </w:pPr>
    </w:p>
    <w:p w14:paraId="2E784A99" w14:textId="77777777" w:rsidR="00973006" w:rsidRDefault="00973006" w:rsidP="6D484AD6">
      <w:pPr>
        <w:ind w:firstLine="0"/>
        <w:rPr>
          <w:rFonts w:ascii="Times New Roman" w:hAnsi="Times New Roman" w:cs="Times New Roman"/>
        </w:rPr>
      </w:pPr>
    </w:p>
    <w:p w14:paraId="64FECA23" w14:textId="6CE0690A" w:rsidR="00973006" w:rsidRDefault="00AE1CD2" w:rsidP="6D484AD6">
      <w:pPr>
        <w:ind w:firstLine="0"/>
        <w:rPr>
          <w:rFonts w:ascii="Times New Roman" w:hAnsi="Times New Roman" w:cs="Times New Roman"/>
        </w:rPr>
      </w:pPr>
      <w:r>
        <w:rPr>
          <w:rFonts w:ascii="Times New Roman" w:hAnsi="Times New Roman" w:cs="Times New Roman"/>
        </w:rPr>
        <w:lastRenderedPageBreak/>
        <w:t xml:space="preserve">Exhibit 8: </w:t>
      </w:r>
      <w:r w:rsidR="0022445B">
        <w:rPr>
          <w:rFonts w:ascii="Times New Roman" w:hAnsi="Times New Roman" w:cs="Times New Roman"/>
        </w:rPr>
        <w:t>Ranges of Implied Price per Share Based on Relative Valuatio</w:t>
      </w:r>
      <w:r w:rsidR="00973006">
        <w:rPr>
          <w:rFonts w:ascii="Times New Roman" w:hAnsi="Times New Roman" w:cs="Times New Roman"/>
        </w:rPr>
        <w:t>n</w:t>
      </w:r>
      <w:r w:rsidR="19579280" w:rsidRPr="0084485B">
        <w:rPr>
          <w:rFonts w:ascii="Times New Roman" w:hAnsi="Times New Roman" w:cs="Times New Roman"/>
          <w:noProof/>
        </w:rPr>
        <w:drawing>
          <wp:inline distT="0" distB="0" distL="0" distR="0" wp14:anchorId="492B04E2" wp14:editId="4EC60238">
            <wp:extent cx="5943600" cy="2543175"/>
            <wp:effectExtent l="0" t="0" r="0" b="0"/>
            <wp:docPr id="1699394061" name="drawing" title="A graph of a graph with blue squares and black text&#10;&#10;AI-generated content may be incorrect.">
              <a:extLst xmlns:a="http://schemas.openxmlformats.org/drawingml/2006/main">
                <a:ext uri="{FF2B5EF4-FFF2-40B4-BE49-F238E27FC236}">
                  <a16:creationId xmlns:a16="http://schemas.microsoft.com/office/drawing/2014/main" id="{A6D82409-FB27-421B-9437-72DB1C58AB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394061" name="Picture 1699394061"/>
                    <pic:cNvPicPr/>
                  </pic:nvPicPr>
                  <pic:blipFill>
                    <a:blip r:embed="rId14">
                      <a:extLst>
                        <a:ext uri="{28A0092B-C50C-407E-A947-70E740481C1C}">
                          <a14:useLocalDpi xmlns:a14="http://schemas.microsoft.com/office/drawing/2010/main"/>
                        </a:ext>
                      </a:extLst>
                    </a:blip>
                    <a:stretch>
                      <a:fillRect/>
                    </a:stretch>
                  </pic:blipFill>
                  <pic:spPr>
                    <a:xfrm>
                      <a:off x="0" y="0"/>
                      <a:ext cx="5943600" cy="2543175"/>
                    </a:xfrm>
                    <a:prstGeom prst="rect">
                      <a:avLst/>
                    </a:prstGeom>
                  </pic:spPr>
                </pic:pic>
              </a:graphicData>
            </a:graphic>
          </wp:inline>
        </w:drawing>
      </w:r>
      <w:r w:rsidR="0022445B">
        <w:rPr>
          <w:rFonts w:ascii="Times New Roman" w:hAnsi="Times New Roman" w:cs="Times New Roman"/>
        </w:rPr>
        <w:t>Exhibit 9: Football Field Chart</w:t>
      </w:r>
      <w:r w:rsidR="00A33F7E">
        <w:rPr>
          <w:noProof/>
        </w:rPr>
        <w:drawing>
          <wp:inline distT="0" distB="0" distL="0" distR="0" wp14:anchorId="782A964C" wp14:editId="459BCE75">
            <wp:extent cx="6479822" cy="2664178"/>
            <wp:effectExtent l="0" t="0" r="10160" b="15875"/>
            <wp:docPr id="526551228" name="Chart 1">
              <a:extLst xmlns:a="http://schemas.openxmlformats.org/drawingml/2006/main">
                <a:ext uri="{FF2B5EF4-FFF2-40B4-BE49-F238E27FC236}">
                  <a16:creationId xmlns:a16="http://schemas.microsoft.com/office/drawing/2014/main" id="{0769B8A7-B803-FD06-E223-1F47A2E7D7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10CB560" w14:textId="47D41B20" w:rsidR="00911AFE" w:rsidRPr="0084485B" w:rsidRDefault="00973006" w:rsidP="6D484AD6">
      <w:pPr>
        <w:ind w:firstLine="0"/>
        <w:rPr>
          <w:rFonts w:ascii="Times New Roman" w:hAnsi="Times New Roman" w:cs="Times New Roman"/>
        </w:rPr>
      </w:pPr>
      <w:r>
        <w:rPr>
          <w:rFonts w:ascii="Times New Roman" w:hAnsi="Times New Roman" w:cs="Times New Roman"/>
        </w:rPr>
        <w:lastRenderedPageBreak/>
        <w:t xml:space="preserve">Exhibit 10: </w:t>
      </w:r>
      <w:r w:rsidR="004C5955">
        <w:rPr>
          <w:rFonts w:ascii="Times New Roman" w:hAnsi="Times New Roman" w:cs="Times New Roman"/>
        </w:rPr>
        <w:t>DCF Assumptions and Explanations</w:t>
      </w:r>
      <w:r w:rsidR="5A2D9A61" w:rsidRPr="0084485B">
        <w:rPr>
          <w:rFonts w:ascii="Times New Roman" w:hAnsi="Times New Roman" w:cs="Times New Roman"/>
          <w:noProof/>
        </w:rPr>
        <w:drawing>
          <wp:inline distT="0" distB="0" distL="0" distR="0" wp14:anchorId="4ECD4FAD" wp14:editId="650FC780">
            <wp:extent cx="6130399" cy="1812267"/>
            <wp:effectExtent l="0" t="0" r="0" b="0"/>
            <wp:docPr id="1686167356" name="Picture 1" descr="A close-up of a chart&#10;&#10;AI-generated content may be incorrect.">
              <a:extLst xmlns:a="http://schemas.openxmlformats.org/drawingml/2006/main">
                <a:ext uri="{FF2B5EF4-FFF2-40B4-BE49-F238E27FC236}">
                  <a16:creationId xmlns:a16="http://schemas.microsoft.com/office/drawing/2014/main" id="{78809F90-4542-4C8F-B880-8F2FDCCA91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494818" name="Picture 1" descr="A close-up of a chart&#10;&#10;AI-generated content may be incorrect."/>
                    <pic:cNvPicPr/>
                  </pic:nvPicPr>
                  <pic:blipFill>
                    <a:blip r:embed="rId16" cstate="print">
                      <a:extLst>
                        <a:ext uri="{28A0092B-C50C-407E-A947-70E740481C1C}">
                          <a14:useLocalDpi xmlns:a14="http://schemas.microsoft.com/office/drawing/2010/main"/>
                        </a:ext>
                      </a:extLst>
                    </a:blip>
                    <a:stretch>
                      <a:fillRect/>
                    </a:stretch>
                  </pic:blipFill>
                  <pic:spPr>
                    <a:xfrm>
                      <a:off x="0" y="0"/>
                      <a:ext cx="6130399" cy="1812267"/>
                    </a:xfrm>
                    <a:prstGeom prst="rect">
                      <a:avLst/>
                    </a:prstGeom>
                  </pic:spPr>
                </pic:pic>
              </a:graphicData>
            </a:graphic>
          </wp:inline>
        </w:drawing>
      </w:r>
    </w:p>
    <w:p w14:paraId="69B9DF38" w14:textId="740059BE" w:rsidR="00306F02" w:rsidRPr="0084485B" w:rsidRDefault="00973006" w:rsidP="6D484AD6">
      <w:pPr>
        <w:ind w:firstLine="0"/>
        <w:rPr>
          <w:rFonts w:ascii="Times New Roman" w:hAnsi="Times New Roman" w:cs="Times New Roman"/>
        </w:rPr>
      </w:pPr>
      <w:r>
        <w:rPr>
          <w:rFonts w:ascii="Times New Roman" w:hAnsi="Times New Roman" w:cs="Times New Roman"/>
        </w:rPr>
        <w:t xml:space="preserve">Exhibit 11: </w:t>
      </w:r>
      <w:r w:rsidR="00070493">
        <w:rPr>
          <w:rFonts w:ascii="Times New Roman" w:hAnsi="Times New Roman" w:cs="Times New Roman"/>
        </w:rPr>
        <w:t xml:space="preserve">TAP </w:t>
      </w:r>
      <w:r w:rsidR="00786D21">
        <w:rPr>
          <w:rFonts w:ascii="Times New Roman" w:hAnsi="Times New Roman" w:cs="Times New Roman"/>
        </w:rPr>
        <w:t>Credit Health Score</w:t>
      </w:r>
      <w:r w:rsidR="00306F02" w:rsidRPr="0084485B">
        <w:rPr>
          <w:rFonts w:ascii="Times New Roman" w:hAnsi="Times New Roman" w:cs="Times New Roman"/>
          <w:noProof/>
        </w:rPr>
        <w:drawing>
          <wp:inline distT="0" distB="0" distL="0" distR="0" wp14:anchorId="295BE89F" wp14:editId="723991DB">
            <wp:extent cx="5943600" cy="1551305"/>
            <wp:effectExtent l="0" t="0" r="0" b="0"/>
            <wp:docPr id="2" name="Picture 1" descr="A screenshot of a credit score&#10;&#10;AI-generated content may be incorrect.">
              <a:extLst xmlns:a="http://schemas.openxmlformats.org/drawingml/2006/main">
                <a:ext uri="{FF2B5EF4-FFF2-40B4-BE49-F238E27FC236}">
                  <a16:creationId xmlns:a16="http://schemas.microsoft.com/office/drawing/2014/main" id="{30F30480-D840-478B-BB99-D25E9162FB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screenshot of a credit score&#10;&#10;AI-generated content may be incorrect.">
                      <a:extLst>
                        <a:ext uri="{FF2B5EF4-FFF2-40B4-BE49-F238E27FC236}">
                          <a16:creationId xmlns:a16="http://schemas.microsoft.com/office/drawing/2014/main" id="{436A3F14-0F5A-938B-1C4A-000E4BB15972}"/>
                        </a:ext>
                      </a:extLst>
                    </pic:cNvPr>
                    <pic:cNvPicPr>
                      <a:picLocks noChangeAspect="1"/>
                    </pic:cNvPicPr>
                  </pic:nvPicPr>
                  <pic:blipFill>
                    <a:blip r:embed="rId17"/>
                    <a:stretch>
                      <a:fillRect/>
                    </a:stretch>
                  </pic:blipFill>
                  <pic:spPr>
                    <a:xfrm>
                      <a:off x="0" y="0"/>
                      <a:ext cx="5943600" cy="1551305"/>
                    </a:xfrm>
                    <a:prstGeom prst="rect">
                      <a:avLst/>
                    </a:prstGeom>
                  </pic:spPr>
                </pic:pic>
              </a:graphicData>
            </a:graphic>
          </wp:inline>
        </w:drawing>
      </w:r>
    </w:p>
    <w:p w14:paraId="25401A29" w14:textId="29B92DD6" w:rsidR="00306F02" w:rsidRPr="0084485B" w:rsidRDefault="00973006" w:rsidP="6D484AD6">
      <w:pPr>
        <w:ind w:firstLine="0"/>
        <w:rPr>
          <w:rFonts w:ascii="Times New Roman" w:hAnsi="Times New Roman" w:cs="Times New Roman"/>
        </w:rPr>
      </w:pPr>
      <w:r>
        <w:rPr>
          <w:rFonts w:ascii="Times New Roman" w:hAnsi="Times New Roman" w:cs="Times New Roman"/>
        </w:rPr>
        <w:lastRenderedPageBreak/>
        <w:t>Exhibit 12:</w:t>
      </w:r>
      <w:r w:rsidR="00786D21">
        <w:rPr>
          <w:rFonts w:ascii="Times New Roman" w:hAnsi="Times New Roman" w:cs="Times New Roman"/>
        </w:rPr>
        <w:t xml:space="preserve"> Damodaran </w:t>
      </w:r>
      <w:r w:rsidR="004A1380">
        <w:rPr>
          <w:rFonts w:ascii="Times New Roman" w:hAnsi="Times New Roman" w:cs="Times New Roman"/>
        </w:rPr>
        <w:t xml:space="preserve">Default Spread </w:t>
      </w:r>
      <w:r w:rsidR="009948B2">
        <w:rPr>
          <w:rFonts w:ascii="Times New Roman" w:hAnsi="Times New Roman" w:cs="Times New Roman"/>
        </w:rPr>
        <w:t>Based on Credit Rating</w:t>
      </w:r>
      <w:r>
        <w:rPr>
          <w:rFonts w:ascii="Times New Roman" w:hAnsi="Times New Roman" w:cs="Times New Roman"/>
        </w:rPr>
        <w:t xml:space="preserve"> </w:t>
      </w:r>
      <w:r w:rsidR="00306F02" w:rsidRPr="0084485B">
        <w:rPr>
          <w:rFonts w:ascii="Times New Roman" w:hAnsi="Times New Roman" w:cs="Times New Roman"/>
          <w:noProof/>
        </w:rPr>
        <w:drawing>
          <wp:inline distT="0" distB="0" distL="0" distR="0" wp14:anchorId="39BDCC82" wp14:editId="09DD823B">
            <wp:extent cx="4938891" cy="4631726"/>
            <wp:effectExtent l="0" t="0" r="1905" b="3810"/>
            <wp:docPr id="3" name="Picture 2" descr="A table of numbers and symbols&#10;&#10;AI-generated content may be incorrect.">
              <a:extLst xmlns:a="http://schemas.openxmlformats.org/drawingml/2006/main">
                <a:ext uri="{FF2B5EF4-FFF2-40B4-BE49-F238E27FC236}">
                  <a16:creationId xmlns:a16="http://schemas.microsoft.com/office/drawing/2014/main" id="{4293A5BB-522C-4C78-AC42-F628C9CCCB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table of numbers and symbols&#10;&#10;AI-generated content may be incorrect.">
                      <a:extLst>
                        <a:ext uri="{FF2B5EF4-FFF2-40B4-BE49-F238E27FC236}">
                          <a16:creationId xmlns:a16="http://schemas.microsoft.com/office/drawing/2014/main" id="{5D25C5CD-CB65-ADCA-4E0C-2429822E338B}"/>
                        </a:ext>
                      </a:extLst>
                    </pic:cNvPr>
                    <pic:cNvPicPr>
                      <a:picLocks noChangeAspect="1"/>
                    </pic:cNvPicPr>
                  </pic:nvPicPr>
                  <pic:blipFill>
                    <a:blip r:embed="rId18"/>
                    <a:stretch>
                      <a:fillRect/>
                    </a:stretch>
                  </pic:blipFill>
                  <pic:spPr>
                    <a:xfrm>
                      <a:off x="0" y="0"/>
                      <a:ext cx="4938891" cy="4631726"/>
                    </a:xfrm>
                    <a:prstGeom prst="rect">
                      <a:avLst/>
                    </a:prstGeom>
                  </pic:spPr>
                </pic:pic>
              </a:graphicData>
            </a:graphic>
          </wp:inline>
        </w:drawing>
      </w:r>
    </w:p>
    <w:p w14:paraId="0DC86F3E" w14:textId="53DBC2D4" w:rsidR="00911AFE" w:rsidRPr="0084485B" w:rsidRDefault="00911AFE" w:rsidP="6D484AD6">
      <w:pPr>
        <w:ind w:firstLine="0"/>
        <w:rPr>
          <w:rFonts w:ascii="Times New Roman" w:eastAsia="Times" w:hAnsi="Times New Roman" w:cs="Times New Roman"/>
          <w:color w:val="000000" w:themeColor="text1"/>
        </w:rPr>
      </w:pPr>
    </w:p>
    <w:p w14:paraId="2BAFB675" w14:textId="77777777" w:rsidR="009948B2" w:rsidRDefault="009948B2">
      <w:pPr>
        <w:rPr>
          <w:rFonts w:ascii="Times New Roman" w:eastAsiaTheme="majorEastAsia" w:hAnsi="Times New Roman" w:cs="Times New Roman"/>
          <w:b/>
          <w:bCs/>
          <w:i/>
          <w:iCs/>
          <w:sz w:val="28"/>
          <w:szCs w:val="28"/>
        </w:rPr>
      </w:pPr>
      <w:r>
        <w:rPr>
          <w:rFonts w:ascii="Times New Roman" w:hAnsi="Times New Roman" w:cs="Times New Roman"/>
        </w:rPr>
        <w:br w:type="page"/>
      </w:r>
    </w:p>
    <w:p w14:paraId="55644B75" w14:textId="40202171" w:rsidR="00911AFE" w:rsidRPr="0084485B" w:rsidRDefault="44BC578D" w:rsidP="6D484AD6">
      <w:pPr>
        <w:pStyle w:val="Heading2"/>
        <w:rPr>
          <w:rFonts w:ascii="Times New Roman" w:eastAsia="Times" w:hAnsi="Times New Roman" w:cs="Times New Roman"/>
          <w:b w:val="0"/>
          <w:i w:val="0"/>
          <w:color w:val="000000" w:themeColor="text1"/>
          <w:sz w:val="22"/>
          <w:szCs w:val="22"/>
        </w:rPr>
      </w:pPr>
      <w:r w:rsidRPr="0084485B">
        <w:rPr>
          <w:rFonts w:ascii="Times New Roman" w:hAnsi="Times New Roman" w:cs="Times New Roman"/>
        </w:rPr>
        <w:lastRenderedPageBreak/>
        <w:t>Work Cited</w:t>
      </w:r>
    </w:p>
    <w:p w14:paraId="518ADF7F" w14:textId="661EF688" w:rsidR="00911AFE" w:rsidRPr="0084485B" w:rsidRDefault="704C05DD" w:rsidP="6D484AD6">
      <w:pPr>
        <w:ind w:left="720" w:hanging="720"/>
        <w:rPr>
          <w:rFonts w:ascii="Times New Roman" w:hAnsi="Times New Roman" w:cs="Times New Roman"/>
        </w:rPr>
      </w:pPr>
      <w:proofErr w:type="spellStart"/>
      <w:r w:rsidRPr="0084485B">
        <w:rPr>
          <w:rFonts w:ascii="Times New Roman" w:hAnsi="Times New Roman" w:cs="Times New Roman"/>
        </w:rPr>
        <w:t>Accio</w:t>
      </w:r>
      <w:proofErr w:type="spellEnd"/>
      <w:r w:rsidRPr="0084485B">
        <w:rPr>
          <w:rFonts w:ascii="Times New Roman" w:hAnsi="Times New Roman" w:cs="Times New Roman"/>
        </w:rPr>
        <w:t xml:space="preserve">. "U.S. Beer Market Share 2025." </w:t>
      </w:r>
      <w:proofErr w:type="spellStart"/>
      <w:r w:rsidRPr="0084485B">
        <w:rPr>
          <w:rFonts w:ascii="Times New Roman" w:hAnsi="Times New Roman" w:cs="Times New Roman"/>
        </w:rPr>
        <w:t>Accio</w:t>
      </w:r>
      <w:proofErr w:type="spellEnd"/>
      <w:r w:rsidRPr="0084485B">
        <w:rPr>
          <w:rFonts w:ascii="Times New Roman" w:hAnsi="Times New Roman" w:cs="Times New Roman"/>
        </w:rPr>
        <w:t xml:space="preserve"> Market Insights, 2025, www.accioinsights.com/beer-market-share-2025.</w:t>
      </w:r>
    </w:p>
    <w:p w14:paraId="6D886947" w14:textId="651F96BF" w:rsidR="00911AFE" w:rsidRPr="0084485B" w:rsidRDefault="704C05DD" w:rsidP="08464C0C">
      <w:pPr>
        <w:ind w:left="720" w:hanging="720"/>
        <w:rPr>
          <w:rFonts w:ascii="Times New Roman" w:hAnsi="Times New Roman" w:cs="Times New Roman"/>
        </w:rPr>
      </w:pPr>
      <w:proofErr w:type="spellStart"/>
      <w:r w:rsidRPr="0084485B">
        <w:rPr>
          <w:rFonts w:ascii="Times New Roman" w:hAnsi="Times New Roman" w:cs="Times New Roman"/>
        </w:rPr>
        <w:t>CSIMarket</w:t>
      </w:r>
      <w:proofErr w:type="spellEnd"/>
      <w:r w:rsidRPr="0084485B">
        <w:rPr>
          <w:rFonts w:ascii="Times New Roman" w:hAnsi="Times New Roman" w:cs="Times New Roman"/>
        </w:rPr>
        <w:t xml:space="preserve">. "Molson Coors Beverage Company Market Share." </w:t>
      </w:r>
      <w:proofErr w:type="spellStart"/>
      <w:r w:rsidRPr="0084485B">
        <w:rPr>
          <w:rFonts w:ascii="Times New Roman" w:hAnsi="Times New Roman" w:cs="Times New Roman"/>
        </w:rPr>
        <w:t>CSIMarket</w:t>
      </w:r>
      <w:proofErr w:type="spellEnd"/>
      <w:r w:rsidRPr="0084485B">
        <w:rPr>
          <w:rFonts w:ascii="Times New Roman" w:hAnsi="Times New Roman" w:cs="Times New Roman"/>
        </w:rPr>
        <w:t>, 2025, csimarket.com/stocks/</w:t>
      </w:r>
      <w:proofErr w:type="spellStart"/>
      <w:r w:rsidRPr="0084485B">
        <w:rPr>
          <w:rFonts w:ascii="Times New Roman" w:hAnsi="Times New Roman" w:cs="Times New Roman"/>
        </w:rPr>
        <w:t>competition.php?code</w:t>
      </w:r>
      <w:proofErr w:type="spellEnd"/>
      <w:r w:rsidRPr="0084485B">
        <w:rPr>
          <w:rFonts w:ascii="Times New Roman" w:hAnsi="Times New Roman" w:cs="Times New Roman"/>
        </w:rPr>
        <w:t>=TAP.</w:t>
      </w:r>
    </w:p>
    <w:p w14:paraId="0DA77F64" w14:textId="67800BF2" w:rsidR="00911AFE" w:rsidRPr="0084485B" w:rsidRDefault="704C05DD" w:rsidP="08464C0C">
      <w:pPr>
        <w:ind w:left="720" w:hanging="720"/>
        <w:rPr>
          <w:rFonts w:ascii="Times New Roman" w:hAnsi="Times New Roman" w:cs="Times New Roman"/>
        </w:rPr>
      </w:pPr>
      <w:r w:rsidRPr="0084485B">
        <w:rPr>
          <w:rFonts w:ascii="Times New Roman" w:hAnsi="Times New Roman" w:cs="Times New Roman"/>
        </w:rPr>
        <w:t>NBWA (National Beer Wholesalers Association). "2025 Beer Industry Data." NBWA, 2025, www.nbwa.org/resources/industry-data.</w:t>
      </w:r>
    </w:p>
    <w:p w14:paraId="6B1ABFCC" w14:textId="45616613" w:rsidR="00911AFE" w:rsidRPr="0084485B" w:rsidRDefault="704C05DD" w:rsidP="08464C0C">
      <w:pPr>
        <w:ind w:left="720" w:hanging="720"/>
        <w:rPr>
          <w:rFonts w:ascii="Times New Roman" w:hAnsi="Times New Roman" w:cs="Times New Roman"/>
        </w:rPr>
      </w:pPr>
      <w:proofErr w:type="spellStart"/>
      <w:r w:rsidRPr="0084485B">
        <w:rPr>
          <w:rFonts w:ascii="Times New Roman" w:hAnsi="Times New Roman" w:cs="Times New Roman"/>
        </w:rPr>
        <w:t>uFoodin</w:t>
      </w:r>
      <w:proofErr w:type="spellEnd"/>
      <w:r w:rsidRPr="0084485B">
        <w:rPr>
          <w:rFonts w:ascii="Times New Roman" w:hAnsi="Times New Roman" w:cs="Times New Roman"/>
        </w:rPr>
        <w:t xml:space="preserve">. "Global Beer Market Rankings 2025." </w:t>
      </w:r>
      <w:proofErr w:type="spellStart"/>
      <w:r w:rsidRPr="0084485B">
        <w:rPr>
          <w:rFonts w:ascii="Times New Roman" w:hAnsi="Times New Roman" w:cs="Times New Roman"/>
        </w:rPr>
        <w:t>uFoodin</w:t>
      </w:r>
      <w:proofErr w:type="spellEnd"/>
      <w:r w:rsidRPr="0084485B">
        <w:rPr>
          <w:rFonts w:ascii="Times New Roman" w:hAnsi="Times New Roman" w:cs="Times New Roman"/>
        </w:rPr>
        <w:t>, 2025, www.ufoodin.com/beer-market-rankings-2025.</w:t>
      </w:r>
    </w:p>
    <w:p w14:paraId="066D2AD6" w14:textId="2065B57C" w:rsidR="00911AFE" w:rsidRPr="0084485B" w:rsidRDefault="704C05DD" w:rsidP="08464C0C">
      <w:pPr>
        <w:ind w:left="720" w:hanging="720"/>
        <w:rPr>
          <w:rFonts w:ascii="Times New Roman" w:hAnsi="Times New Roman" w:cs="Times New Roman"/>
        </w:rPr>
      </w:pPr>
      <w:proofErr w:type="spellStart"/>
      <w:r w:rsidRPr="0084485B">
        <w:rPr>
          <w:rFonts w:ascii="Times New Roman" w:hAnsi="Times New Roman" w:cs="Times New Roman"/>
        </w:rPr>
        <w:t>VinePair</w:t>
      </w:r>
      <w:proofErr w:type="spellEnd"/>
      <w:r w:rsidRPr="0084485B">
        <w:rPr>
          <w:rFonts w:ascii="Times New Roman" w:hAnsi="Times New Roman" w:cs="Times New Roman"/>
        </w:rPr>
        <w:t xml:space="preserve">. "Top Beer Companies in the World 2025." </w:t>
      </w:r>
      <w:proofErr w:type="spellStart"/>
      <w:r w:rsidRPr="0084485B">
        <w:rPr>
          <w:rFonts w:ascii="Times New Roman" w:hAnsi="Times New Roman" w:cs="Times New Roman"/>
        </w:rPr>
        <w:t>VinePair</w:t>
      </w:r>
      <w:proofErr w:type="spellEnd"/>
      <w:r w:rsidRPr="0084485B">
        <w:rPr>
          <w:rFonts w:ascii="Times New Roman" w:hAnsi="Times New Roman" w:cs="Times New Roman"/>
        </w:rPr>
        <w:t>, 2025, vinepair.com/articles/top-beer-companies-world-2025/.</w:t>
      </w:r>
    </w:p>
    <w:p w14:paraId="038C4A29" w14:textId="069000DB" w:rsidR="3B329A94" w:rsidRPr="0084485B" w:rsidRDefault="3B329A94" w:rsidP="56FA00A7">
      <w:pPr>
        <w:ind w:left="720" w:hanging="720"/>
        <w:rPr>
          <w:rFonts w:ascii="Times New Roman" w:hAnsi="Times New Roman" w:cs="Times New Roman"/>
        </w:rPr>
      </w:pPr>
      <w:r w:rsidRPr="0084485B">
        <w:rPr>
          <w:rFonts w:ascii="Times New Roman" w:hAnsi="Times New Roman" w:cs="Times New Roman"/>
        </w:rPr>
        <w:t>"Molson Coors Beverage (NYSE:TAP) Stock Forecast &amp; Analyst Predictions - Simply Wall St." Simply Wall St, Simply Wall St, 7 Nov. 2025, simplywall.st/stocks/us/food-beverage-tobacco/nyse-tap/molson-coors-beverage/future. Accessed 9 Nov. 2025.</w:t>
      </w:r>
    </w:p>
    <w:p w14:paraId="14AE2CF4" w14:textId="622A336C" w:rsidR="3B329A94" w:rsidRPr="0084485B" w:rsidRDefault="3B329A94" w:rsidP="56FA00A7">
      <w:pPr>
        <w:ind w:left="720" w:hanging="720"/>
        <w:rPr>
          <w:rFonts w:ascii="Times New Roman" w:hAnsi="Times New Roman" w:cs="Times New Roman"/>
        </w:rPr>
      </w:pPr>
      <w:r w:rsidRPr="0084485B">
        <w:rPr>
          <w:rFonts w:ascii="Times New Roman" w:hAnsi="Times New Roman" w:cs="Times New Roman"/>
        </w:rPr>
        <w:t>Anheuser-Busch InBev. "FY Financial Report 2022." Anheuser-Busch InBev, 2023, www.ab-inbev.com/assets/pressreleases/2023/FY%2520Financial%2520Report%25202022.pdf. Accessed 9 Nov. 2025.</w:t>
      </w:r>
    </w:p>
    <w:sectPr w:rsidR="3B329A94" w:rsidRPr="008448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2FF" w:usb1="420024FF" w:usb2="00000000" w:usb3="00000000" w:csb0="0000019F" w:csb1="00000000"/>
  </w:font>
  <w:font w:name="Times">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05DF7"/>
    <w:multiLevelType w:val="multilevel"/>
    <w:tmpl w:val="44E22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BB9502"/>
    <w:multiLevelType w:val="hybridMultilevel"/>
    <w:tmpl w:val="FFFFFFFF"/>
    <w:lvl w:ilvl="0" w:tplc="34609B1C">
      <w:start w:val="1"/>
      <w:numFmt w:val="bullet"/>
      <w:lvlText w:val=""/>
      <w:lvlJc w:val="left"/>
      <w:pPr>
        <w:ind w:left="720" w:hanging="360"/>
      </w:pPr>
      <w:rPr>
        <w:rFonts w:ascii="Symbol" w:hAnsi="Symbol" w:hint="default"/>
      </w:rPr>
    </w:lvl>
    <w:lvl w:ilvl="1" w:tplc="30E64AC2">
      <w:start w:val="1"/>
      <w:numFmt w:val="bullet"/>
      <w:lvlText w:val="o"/>
      <w:lvlJc w:val="left"/>
      <w:pPr>
        <w:ind w:left="1440" w:hanging="360"/>
      </w:pPr>
      <w:rPr>
        <w:rFonts w:ascii="Courier New" w:hAnsi="Courier New" w:hint="default"/>
      </w:rPr>
    </w:lvl>
    <w:lvl w:ilvl="2" w:tplc="41D60E8E">
      <w:start w:val="1"/>
      <w:numFmt w:val="bullet"/>
      <w:lvlText w:val=""/>
      <w:lvlJc w:val="left"/>
      <w:pPr>
        <w:ind w:left="2160" w:hanging="360"/>
      </w:pPr>
      <w:rPr>
        <w:rFonts w:ascii="Wingdings" w:hAnsi="Wingdings" w:hint="default"/>
      </w:rPr>
    </w:lvl>
    <w:lvl w:ilvl="3" w:tplc="9E28CD84">
      <w:start w:val="1"/>
      <w:numFmt w:val="bullet"/>
      <w:lvlText w:val=""/>
      <w:lvlJc w:val="left"/>
      <w:pPr>
        <w:ind w:left="2880" w:hanging="360"/>
      </w:pPr>
      <w:rPr>
        <w:rFonts w:ascii="Symbol" w:hAnsi="Symbol" w:hint="default"/>
      </w:rPr>
    </w:lvl>
    <w:lvl w:ilvl="4" w:tplc="CE1474AC">
      <w:start w:val="1"/>
      <w:numFmt w:val="bullet"/>
      <w:lvlText w:val="o"/>
      <w:lvlJc w:val="left"/>
      <w:pPr>
        <w:ind w:left="3600" w:hanging="360"/>
      </w:pPr>
      <w:rPr>
        <w:rFonts w:ascii="Courier New" w:hAnsi="Courier New" w:hint="default"/>
      </w:rPr>
    </w:lvl>
    <w:lvl w:ilvl="5" w:tplc="5114D888">
      <w:start w:val="1"/>
      <w:numFmt w:val="bullet"/>
      <w:lvlText w:val=""/>
      <w:lvlJc w:val="left"/>
      <w:pPr>
        <w:ind w:left="4320" w:hanging="360"/>
      </w:pPr>
      <w:rPr>
        <w:rFonts w:ascii="Wingdings" w:hAnsi="Wingdings" w:hint="default"/>
      </w:rPr>
    </w:lvl>
    <w:lvl w:ilvl="6" w:tplc="67129BF2">
      <w:start w:val="1"/>
      <w:numFmt w:val="bullet"/>
      <w:lvlText w:val=""/>
      <w:lvlJc w:val="left"/>
      <w:pPr>
        <w:ind w:left="5040" w:hanging="360"/>
      </w:pPr>
      <w:rPr>
        <w:rFonts w:ascii="Symbol" w:hAnsi="Symbol" w:hint="default"/>
      </w:rPr>
    </w:lvl>
    <w:lvl w:ilvl="7" w:tplc="04F0C222">
      <w:start w:val="1"/>
      <w:numFmt w:val="bullet"/>
      <w:lvlText w:val="o"/>
      <w:lvlJc w:val="left"/>
      <w:pPr>
        <w:ind w:left="5760" w:hanging="360"/>
      </w:pPr>
      <w:rPr>
        <w:rFonts w:ascii="Courier New" w:hAnsi="Courier New" w:hint="default"/>
      </w:rPr>
    </w:lvl>
    <w:lvl w:ilvl="8" w:tplc="31285BA2">
      <w:start w:val="1"/>
      <w:numFmt w:val="bullet"/>
      <w:lvlText w:val=""/>
      <w:lvlJc w:val="left"/>
      <w:pPr>
        <w:ind w:left="6480" w:hanging="360"/>
      </w:pPr>
      <w:rPr>
        <w:rFonts w:ascii="Wingdings" w:hAnsi="Wingdings" w:hint="default"/>
      </w:rPr>
    </w:lvl>
  </w:abstractNum>
  <w:abstractNum w:abstractNumId="2" w15:restartNumberingAfterBreak="0">
    <w:nsid w:val="23DB9171"/>
    <w:multiLevelType w:val="hybridMultilevel"/>
    <w:tmpl w:val="FFFFFFFF"/>
    <w:lvl w:ilvl="0" w:tplc="2AC06F98">
      <w:start w:val="1"/>
      <w:numFmt w:val="bullet"/>
      <w:lvlText w:val=""/>
      <w:lvlJc w:val="left"/>
      <w:pPr>
        <w:ind w:left="720" w:hanging="360"/>
      </w:pPr>
      <w:rPr>
        <w:rFonts w:ascii="Symbol" w:hAnsi="Symbol" w:hint="default"/>
      </w:rPr>
    </w:lvl>
    <w:lvl w:ilvl="1" w:tplc="92E830B4">
      <w:start w:val="1"/>
      <w:numFmt w:val="bullet"/>
      <w:lvlText w:val="o"/>
      <w:lvlJc w:val="left"/>
      <w:pPr>
        <w:ind w:left="1440" w:hanging="360"/>
      </w:pPr>
      <w:rPr>
        <w:rFonts w:ascii="Courier New" w:hAnsi="Courier New" w:hint="default"/>
      </w:rPr>
    </w:lvl>
    <w:lvl w:ilvl="2" w:tplc="E8F6A93A">
      <w:start w:val="1"/>
      <w:numFmt w:val="bullet"/>
      <w:lvlText w:val=""/>
      <w:lvlJc w:val="left"/>
      <w:pPr>
        <w:ind w:left="2160" w:hanging="360"/>
      </w:pPr>
      <w:rPr>
        <w:rFonts w:ascii="Wingdings" w:hAnsi="Wingdings" w:hint="default"/>
      </w:rPr>
    </w:lvl>
    <w:lvl w:ilvl="3" w:tplc="B404727E">
      <w:start w:val="1"/>
      <w:numFmt w:val="bullet"/>
      <w:lvlText w:val=""/>
      <w:lvlJc w:val="left"/>
      <w:pPr>
        <w:ind w:left="2880" w:hanging="360"/>
      </w:pPr>
      <w:rPr>
        <w:rFonts w:ascii="Symbol" w:hAnsi="Symbol" w:hint="default"/>
      </w:rPr>
    </w:lvl>
    <w:lvl w:ilvl="4" w:tplc="BCBCEB6A">
      <w:start w:val="1"/>
      <w:numFmt w:val="bullet"/>
      <w:lvlText w:val="o"/>
      <w:lvlJc w:val="left"/>
      <w:pPr>
        <w:ind w:left="3600" w:hanging="360"/>
      </w:pPr>
      <w:rPr>
        <w:rFonts w:ascii="Courier New" w:hAnsi="Courier New" w:hint="default"/>
      </w:rPr>
    </w:lvl>
    <w:lvl w:ilvl="5" w:tplc="04E29E2C">
      <w:start w:val="1"/>
      <w:numFmt w:val="bullet"/>
      <w:lvlText w:val=""/>
      <w:lvlJc w:val="left"/>
      <w:pPr>
        <w:ind w:left="4320" w:hanging="360"/>
      </w:pPr>
      <w:rPr>
        <w:rFonts w:ascii="Wingdings" w:hAnsi="Wingdings" w:hint="default"/>
      </w:rPr>
    </w:lvl>
    <w:lvl w:ilvl="6" w:tplc="7CA08792">
      <w:start w:val="1"/>
      <w:numFmt w:val="bullet"/>
      <w:lvlText w:val=""/>
      <w:lvlJc w:val="left"/>
      <w:pPr>
        <w:ind w:left="5040" w:hanging="360"/>
      </w:pPr>
      <w:rPr>
        <w:rFonts w:ascii="Symbol" w:hAnsi="Symbol" w:hint="default"/>
      </w:rPr>
    </w:lvl>
    <w:lvl w:ilvl="7" w:tplc="8348D4EA">
      <w:start w:val="1"/>
      <w:numFmt w:val="bullet"/>
      <w:lvlText w:val="o"/>
      <w:lvlJc w:val="left"/>
      <w:pPr>
        <w:ind w:left="5760" w:hanging="360"/>
      </w:pPr>
      <w:rPr>
        <w:rFonts w:ascii="Courier New" w:hAnsi="Courier New" w:hint="default"/>
      </w:rPr>
    </w:lvl>
    <w:lvl w:ilvl="8" w:tplc="A72AA804">
      <w:start w:val="1"/>
      <w:numFmt w:val="bullet"/>
      <w:lvlText w:val=""/>
      <w:lvlJc w:val="left"/>
      <w:pPr>
        <w:ind w:left="6480" w:hanging="360"/>
      </w:pPr>
      <w:rPr>
        <w:rFonts w:ascii="Wingdings" w:hAnsi="Wingdings" w:hint="default"/>
      </w:rPr>
    </w:lvl>
  </w:abstractNum>
  <w:abstractNum w:abstractNumId="3" w15:restartNumberingAfterBreak="0">
    <w:nsid w:val="24F60C62"/>
    <w:multiLevelType w:val="hybridMultilevel"/>
    <w:tmpl w:val="FFFFFFFF"/>
    <w:lvl w:ilvl="0" w:tplc="ECB23122">
      <w:start w:val="1"/>
      <w:numFmt w:val="bullet"/>
      <w:lvlText w:val=""/>
      <w:lvlJc w:val="left"/>
      <w:pPr>
        <w:ind w:left="720" w:hanging="360"/>
      </w:pPr>
      <w:rPr>
        <w:rFonts w:ascii="Symbol" w:hAnsi="Symbol" w:hint="default"/>
      </w:rPr>
    </w:lvl>
    <w:lvl w:ilvl="1" w:tplc="5694EF68">
      <w:start w:val="1"/>
      <w:numFmt w:val="bullet"/>
      <w:lvlText w:val="o"/>
      <w:lvlJc w:val="left"/>
      <w:pPr>
        <w:ind w:left="1440" w:hanging="360"/>
      </w:pPr>
      <w:rPr>
        <w:rFonts w:ascii="Courier New" w:hAnsi="Courier New" w:hint="default"/>
      </w:rPr>
    </w:lvl>
    <w:lvl w:ilvl="2" w:tplc="018A5590">
      <w:start w:val="1"/>
      <w:numFmt w:val="bullet"/>
      <w:lvlText w:val=""/>
      <w:lvlJc w:val="left"/>
      <w:pPr>
        <w:ind w:left="2160" w:hanging="360"/>
      </w:pPr>
      <w:rPr>
        <w:rFonts w:ascii="Wingdings" w:hAnsi="Wingdings" w:hint="default"/>
      </w:rPr>
    </w:lvl>
    <w:lvl w:ilvl="3" w:tplc="E7C876F6">
      <w:start w:val="1"/>
      <w:numFmt w:val="bullet"/>
      <w:lvlText w:val=""/>
      <w:lvlJc w:val="left"/>
      <w:pPr>
        <w:ind w:left="2880" w:hanging="360"/>
      </w:pPr>
      <w:rPr>
        <w:rFonts w:ascii="Symbol" w:hAnsi="Symbol" w:hint="default"/>
      </w:rPr>
    </w:lvl>
    <w:lvl w:ilvl="4" w:tplc="5E6CDFC4">
      <w:start w:val="1"/>
      <w:numFmt w:val="bullet"/>
      <w:lvlText w:val="o"/>
      <w:lvlJc w:val="left"/>
      <w:pPr>
        <w:ind w:left="3600" w:hanging="360"/>
      </w:pPr>
      <w:rPr>
        <w:rFonts w:ascii="Courier New" w:hAnsi="Courier New" w:hint="default"/>
      </w:rPr>
    </w:lvl>
    <w:lvl w:ilvl="5" w:tplc="1D3E165C">
      <w:start w:val="1"/>
      <w:numFmt w:val="bullet"/>
      <w:lvlText w:val=""/>
      <w:lvlJc w:val="left"/>
      <w:pPr>
        <w:ind w:left="4320" w:hanging="360"/>
      </w:pPr>
      <w:rPr>
        <w:rFonts w:ascii="Wingdings" w:hAnsi="Wingdings" w:hint="default"/>
      </w:rPr>
    </w:lvl>
    <w:lvl w:ilvl="6" w:tplc="13CCE7EE">
      <w:start w:val="1"/>
      <w:numFmt w:val="bullet"/>
      <w:lvlText w:val=""/>
      <w:lvlJc w:val="left"/>
      <w:pPr>
        <w:ind w:left="5040" w:hanging="360"/>
      </w:pPr>
      <w:rPr>
        <w:rFonts w:ascii="Symbol" w:hAnsi="Symbol" w:hint="default"/>
      </w:rPr>
    </w:lvl>
    <w:lvl w:ilvl="7" w:tplc="23BAFECE">
      <w:start w:val="1"/>
      <w:numFmt w:val="bullet"/>
      <w:lvlText w:val="o"/>
      <w:lvlJc w:val="left"/>
      <w:pPr>
        <w:ind w:left="5760" w:hanging="360"/>
      </w:pPr>
      <w:rPr>
        <w:rFonts w:ascii="Courier New" w:hAnsi="Courier New" w:hint="default"/>
      </w:rPr>
    </w:lvl>
    <w:lvl w:ilvl="8" w:tplc="A7E0A5E2">
      <w:start w:val="1"/>
      <w:numFmt w:val="bullet"/>
      <w:lvlText w:val=""/>
      <w:lvlJc w:val="left"/>
      <w:pPr>
        <w:ind w:left="6480" w:hanging="360"/>
      </w:pPr>
      <w:rPr>
        <w:rFonts w:ascii="Wingdings" w:hAnsi="Wingdings" w:hint="default"/>
      </w:rPr>
    </w:lvl>
  </w:abstractNum>
  <w:abstractNum w:abstractNumId="4" w15:restartNumberingAfterBreak="0">
    <w:nsid w:val="280A85B2"/>
    <w:multiLevelType w:val="hybridMultilevel"/>
    <w:tmpl w:val="FFFFFFFF"/>
    <w:lvl w:ilvl="0" w:tplc="577E0302">
      <w:start w:val="1"/>
      <w:numFmt w:val="bullet"/>
      <w:lvlText w:val=""/>
      <w:lvlJc w:val="left"/>
      <w:pPr>
        <w:ind w:left="720" w:hanging="360"/>
      </w:pPr>
      <w:rPr>
        <w:rFonts w:ascii="Symbol" w:hAnsi="Symbol" w:hint="default"/>
      </w:rPr>
    </w:lvl>
    <w:lvl w:ilvl="1" w:tplc="C0F03FB0">
      <w:start w:val="1"/>
      <w:numFmt w:val="bullet"/>
      <w:lvlText w:val="o"/>
      <w:lvlJc w:val="left"/>
      <w:pPr>
        <w:ind w:left="1440" w:hanging="360"/>
      </w:pPr>
      <w:rPr>
        <w:rFonts w:ascii="Courier New" w:hAnsi="Courier New" w:hint="default"/>
      </w:rPr>
    </w:lvl>
    <w:lvl w:ilvl="2" w:tplc="99C49B5C">
      <w:start w:val="1"/>
      <w:numFmt w:val="bullet"/>
      <w:lvlText w:val=""/>
      <w:lvlJc w:val="left"/>
      <w:pPr>
        <w:ind w:left="2160" w:hanging="360"/>
      </w:pPr>
      <w:rPr>
        <w:rFonts w:ascii="Wingdings" w:hAnsi="Wingdings" w:hint="default"/>
      </w:rPr>
    </w:lvl>
    <w:lvl w:ilvl="3" w:tplc="C19CF87A">
      <w:start w:val="1"/>
      <w:numFmt w:val="bullet"/>
      <w:lvlText w:val=""/>
      <w:lvlJc w:val="left"/>
      <w:pPr>
        <w:ind w:left="2880" w:hanging="360"/>
      </w:pPr>
      <w:rPr>
        <w:rFonts w:ascii="Symbol" w:hAnsi="Symbol" w:hint="default"/>
      </w:rPr>
    </w:lvl>
    <w:lvl w:ilvl="4" w:tplc="20EA14B8">
      <w:start w:val="1"/>
      <w:numFmt w:val="bullet"/>
      <w:lvlText w:val="o"/>
      <w:lvlJc w:val="left"/>
      <w:pPr>
        <w:ind w:left="3600" w:hanging="360"/>
      </w:pPr>
      <w:rPr>
        <w:rFonts w:ascii="Courier New" w:hAnsi="Courier New" w:hint="default"/>
      </w:rPr>
    </w:lvl>
    <w:lvl w:ilvl="5" w:tplc="5928B2E2">
      <w:start w:val="1"/>
      <w:numFmt w:val="bullet"/>
      <w:lvlText w:val=""/>
      <w:lvlJc w:val="left"/>
      <w:pPr>
        <w:ind w:left="4320" w:hanging="360"/>
      </w:pPr>
      <w:rPr>
        <w:rFonts w:ascii="Wingdings" w:hAnsi="Wingdings" w:hint="default"/>
      </w:rPr>
    </w:lvl>
    <w:lvl w:ilvl="6" w:tplc="1C381298">
      <w:start w:val="1"/>
      <w:numFmt w:val="bullet"/>
      <w:lvlText w:val=""/>
      <w:lvlJc w:val="left"/>
      <w:pPr>
        <w:ind w:left="5040" w:hanging="360"/>
      </w:pPr>
      <w:rPr>
        <w:rFonts w:ascii="Symbol" w:hAnsi="Symbol" w:hint="default"/>
      </w:rPr>
    </w:lvl>
    <w:lvl w:ilvl="7" w:tplc="B8F66F66">
      <w:start w:val="1"/>
      <w:numFmt w:val="bullet"/>
      <w:lvlText w:val="o"/>
      <w:lvlJc w:val="left"/>
      <w:pPr>
        <w:ind w:left="5760" w:hanging="360"/>
      </w:pPr>
      <w:rPr>
        <w:rFonts w:ascii="Courier New" w:hAnsi="Courier New" w:hint="default"/>
      </w:rPr>
    </w:lvl>
    <w:lvl w:ilvl="8" w:tplc="0F34A286">
      <w:start w:val="1"/>
      <w:numFmt w:val="bullet"/>
      <w:lvlText w:val=""/>
      <w:lvlJc w:val="left"/>
      <w:pPr>
        <w:ind w:left="6480" w:hanging="360"/>
      </w:pPr>
      <w:rPr>
        <w:rFonts w:ascii="Wingdings" w:hAnsi="Wingdings" w:hint="default"/>
      </w:rPr>
    </w:lvl>
  </w:abstractNum>
  <w:abstractNum w:abstractNumId="5" w15:restartNumberingAfterBreak="0">
    <w:nsid w:val="305E3E7D"/>
    <w:multiLevelType w:val="hybridMultilevel"/>
    <w:tmpl w:val="E2185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342BB0"/>
    <w:multiLevelType w:val="hybridMultilevel"/>
    <w:tmpl w:val="8C52A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F81608"/>
    <w:multiLevelType w:val="hybridMultilevel"/>
    <w:tmpl w:val="A84AA0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BE7180F"/>
    <w:multiLevelType w:val="hybridMultilevel"/>
    <w:tmpl w:val="4948B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0BDD30"/>
    <w:multiLevelType w:val="hybridMultilevel"/>
    <w:tmpl w:val="B2946462"/>
    <w:lvl w:ilvl="0" w:tplc="8AEE6192">
      <w:start w:val="1"/>
      <w:numFmt w:val="decimal"/>
      <w:lvlText w:val="%1."/>
      <w:lvlJc w:val="left"/>
      <w:pPr>
        <w:ind w:left="720" w:hanging="360"/>
      </w:pPr>
    </w:lvl>
    <w:lvl w:ilvl="1" w:tplc="7E82AD76">
      <w:start w:val="1"/>
      <w:numFmt w:val="lowerLetter"/>
      <w:lvlText w:val="%2."/>
      <w:lvlJc w:val="left"/>
      <w:pPr>
        <w:ind w:left="1440" w:hanging="360"/>
      </w:pPr>
    </w:lvl>
    <w:lvl w:ilvl="2" w:tplc="236C454E">
      <w:start w:val="1"/>
      <w:numFmt w:val="lowerRoman"/>
      <w:lvlText w:val="%3."/>
      <w:lvlJc w:val="right"/>
      <w:pPr>
        <w:ind w:left="2160" w:hanging="180"/>
      </w:pPr>
    </w:lvl>
    <w:lvl w:ilvl="3" w:tplc="2A8810AA">
      <w:start w:val="1"/>
      <w:numFmt w:val="decimal"/>
      <w:lvlText w:val="%4."/>
      <w:lvlJc w:val="left"/>
      <w:pPr>
        <w:ind w:left="2880" w:hanging="360"/>
      </w:pPr>
    </w:lvl>
    <w:lvl w:ilvl="4" w:tplc="C2086722">
      <w:start w:val="1"/>
      <w:numFmt w:val="lowerLetter"/>
      <w:lvlText w:val="%5."/>
      <w:lvlJc w:val="left"/>
      <w:pPr>
        <w:ind w:left="3600" w:hanging="360"/>
      </w:pPr>
    </w:lvl>
    <w:lvl w:ilvl="5" w:tplc="EFF05E9A">
      <w:start w:val="1"/>
      <w:numFmt w:val="lowerRoman"/>
      <w:lvlText w:val="%6."/>
      <w:lvlJc w:val="right"/>
      <w:pPr>
        <w:ind w:left="4320" w:hanging="180"/>
      </w:pPr>
    </w:lvl>
    <w:lvl w:ilvl="6" w:tplc="8EB8C528">
      <w:start w:val="1"/>
      <w:numFmt w:val="decimal"/>
      <w:lvlText w:val="%7."/>
      <w:lvlJc w:val="left"/>
      <w:pPr>
        <w:ind w:left="5040" w:hanging="360"/>
      </w:pPr>
    </w:lvl>
    <w:lvl w:ilvl="7" w:tplc="03761AAC">
      <w:start w:val="1"/>
      <w:numFmt w:val="lowerLetter"/>
      <w:lvlText w:val="%8."/>
      <w:lvlJc w:val="left"/>
      <w:pPr>
        <w:ind w:left="5760" w:hanging="360"/>
      </w:pPr>
    </w:lvl>
    <w:lvl w:ilvl="8" w:tplc="B3427034">
      <w:start w:val="1"/>
      <w:numFmt w:val="lowerRoman"/>
      <w:lvlText w:val="%9."/>
      <w:lvlJc w:val="right"/>
      <w:pPr>
        <w:ind w:left="6480" w:hanging="180"/>
      </w:pPr>
    </w:lvl>
  </w:abstractNum>
  <w:abstractNum w:abstractNumId="10" w15:restartNumberingAfterBreak="0">
    <w:nsid w:val="6EFC094F"/>
    <w:multiLevelType w:val="hybridMultilevel"/>
    <w:tmpl w:val="B9AEC6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250B30C"/>
    <w:multiLevelType w:val="hybridMultilevel"/>
    <w:tmpl w:val="FFFFFFFF"/>
    <w:lvl w:ilvl="0" w:tplc="2A820490">
      <w:start w:val="1"/>
      <w:numFmt w:val="bullet"/>
      <w:lvlText w:val=""/>
      <w:lvlJc w:val="left"/>
      <w:pPr>
        <w:ind w:left="720" w:hanging="360"/>
      </w:pPr>
      <w:rPr>
        <w:rFonts w:ascii="Symbol" w:hAnsi="Symbol" w:hint="default"/>
      </w:rPr>
    </w:lvl>
    <w:lvl w:ilvl="1" w:tplc="54606F4C">
      <w:start w:val="1"/>
      <w:numFmt w:val="bullet"/>
      <w:lvlText w:val="o"/>
      <w:lvlJc w:val="left"/>
      <w:pPr>
        <w:ind w:left="1440" w:hanging="360"/>
      </w:pPr>
      <w:rPr>
        <w:rFonts w:ascii="Courier New" w:hAnsi="Courier New" w:hint="default"/>
      </w:rPr>
    </w:lvl>
    <w:lvl w:ilvl="2" w:tplc="421A7312">
      <w:start w:val="1"/>
      <w:numFmt w:val="bullet"/>
      <w:lvlText w:val=""/>
      <w:lvlJc w:val="left"/>
      <w:pPr>
        <w:ind w:left="2160" w:hanging="360"/>
      </w:pPr>
      <w:rPr>
        <w:rFonts w:ascii="Wingdings" w:hAnsi="Wingdings" w:hint="default"/>
      </w:rPr>
    </w:lvl>
    <w:lvl w:ilvl="3" w:tplc="F328E196">
      <w:start w:val="1"/>
      <w:numFmt w:val="bullet"/>
      <w:lvlText w:val=""/>
      <w:lvlJc w:val="left"/>
      <w:pPr>
        <w:ind w:left="2880" w:hanging="360"/>
      </w:pPr>
      <w:rPr>
        <w:rFonts w:ascii="Symbol" w:hAnsi="Symbol" w:hint="default"/>
      </w:rPr>
    </w:lvl>
    <w:lvl w:ilvl="4" w:tplc="E206B34E">
      <w:start w:val="1"/>
      <w:numFmt w:val="bullet"/>
      <w:lvlText w:val="o"/>
      <w:lvlJc w:val="left"/>
      <w:pPr>
        <w:ind w:left="3600" w:hanging="360"/>
      </w:pPr>
      <w:rPr>
        <w:rFonts w:ascii="Courier New" w:hAnsi="Courier New" w:hint="default"/>
      </w:rPr>
    </w:lvl>
    <w:lvl w:ilvl="5" w:tplc="5096FC66">
      <w:start w:val="1"/>
      <w:numFmt w:val="bullet"/>
      <w:lvlText w:val=""/>
      <w:lvlJc w:val="left"/>
      <w:pPr>
        <w:ind w:left="4320" w:hanging="360"/>
      </w:pPr>
      <w:rPr>
        <w:rFonts w:ascii="Wingdings" w:hAnsi="Wingdings" w:hint="default"/>
      </w:rPr>
    </w:lvl>
    <w:lvl w:ilvl="6" w:tplc="8A927C74">
      <w:start w:val="1"/>
      <w:numFmt w:val="bullet"/>
      <w:lvlText w:val=""/>
      <w:lvlJc w:val="left"/>
      <w:pPr>
        <w:ind w:left="5040" w:hanging="360"/>
      </w:pPr>
      <w:rPr>
        <w:rFonts w:ascii="Symbol" w:hAnsi="Symbol" w:hint="default"/>
      </w:rPr>
    </w:lvl>
    <w:lvl w:ilvl="7" w:tplc="D1986A32">
      <w:start w:val="1"/>
      <w:numFmt w:val="bullet"/>
      <w:lvlText w:val="o"/>
      <w:lvlJc w:val="left"/>
      <w:pPr>
        <w:ind w:left="5760" w:hanging="360"/>
      </w:pPr>
      <w:rPr>
        <w:rFonts w:ascii="Courier New" w:hAnsi="Courier New" w:hint="default"/>
      </w:rPr>
    </w:lvl>
    <w:lvl w:ilvl="8" w:tplc="92F68BA6">
      <w:start w:val="1"/>
      <w:numFmt w:val="bullet"/>
      <w:lvlText w:val=""/>
      <w:lvlJc w:val="left"/>
      <w:pPr>
        <w:ind w:left="6480" w:hanging="360"/>
      </w:pPr>
      <w:rPr>
        <w:rFonts w:ascii="Wingdings" w:hAnsi="Wingdings" w:hint="default"/>
      </w:rPr>
    </w:lvl>
  </w:abstractNum>
  <w:abstractNum w:abstractNumId="12" w15:restartNumberingAfterBreak="0">
    <w:nsid w:val="77C76EFF"/>
    <w:multiLevelType w:val="hybridMultilevel"/>
    <w:tmpl w:val="B2A02B50"/>
    <w:lvl w:ilvl="0" w:tplc="2514D5A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5002889">
    <w:abstractNumId w:val="9"/>
  </w:num>
  <w:num w:numId="2" w16cid:durableId="1631206812">
    <w:abstractNumId w:val="4"/>
  </w:num>
  <w:num w:numId="3" w16cid:durableId="1715109586">
    <w:abstractNumId w:val="11"/>
  </w:num>
  <w:num w:numId="4" w16cid:durableId="1808281237">
    <w:abstractNumId w:val="3"/>
  </w:num>
  <w:num w:numId="5" w16cid:durableId="200090713">
    <w:abstractNumId w:val="12"/>
  </w:num>
  <w:num w:numId="6" w16cid:durableId="2081823331">
    <w:abstractNumId w:val="1"/>
  </w:num>
  <w:num w:numId="7" w16cid:durableId="247155178">
    <w:abstractNumId w:val="2"/>
  </w:num>
  <w:num w:numId="8" w16cid:durableId="293947295">
    <w:abstractNumId w:val="10"/>
  </w:num>
  <w:num w:numId="9" w16cid:durableId="389965598">
    <w:abstractNumId w:val="5"/>
  </w:num>
  <w:num w:numId="10" w16cid:durableId="530650424">
    <w:abstractNumId w:val="0"/>
  </w:num>
  <w:num w:numId="11" w16cid:durableId="573970674">
    <w:abstractNumId w:val="6"/>
  </w:num>
  <w:num w:numId="12" w16cid:durableId="70588258">
    <w:abstractNumId w:val="8"/>
  </w:num>
  <w:num w:numId="13" w16cid:durableId="9995027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9B7"/>
    <w:rsid w:val="00004073"/>
    <w:rsid w:val="00013AB6"/>
    <w:rsid w:val="00021E57"/>
    <w:rsid w:val="00023590"/>
    <w:rsid w:val="000274F7"/>
    <w:rsid w:val="00030327"/>
    <w:rsid w:val="00030504"/>
    <w:rsid w:val="00034FDD"/>
    <w:rsid w:val="00035293"/>
    <w:rsid w:val="00035871"/>
    <w:rsid w:val="000361DF"/>
    <w:rsid w:val="00037300"/>
    <w:rsid w:val="000416A2"/>
    <w:rsid w:val="000434E9"/>
    <w:rsid w:val="00043667"/>
    <w:rsid w:val="00045E88"/>
    <w:rsid w:val="000461EF"/>
    <w:rsid w:val="000463EA"/>
    <w:rsid w:val="0004661E"/>
    <w:rsid w:val="00046AF4"/>
    <w:rsid w:val="00050355"/>
    <w:rsid w:val="00050E85"/>
    <w:rsid w:val="00052D90"/>
    <w:rsid w:val="000559C7"/>
    <w:rsid w:val="000563DA"/>
    <w:rsid w:val="00057E65"/>
    <w:rsid w:val="000603CF"/>
    <w:rsid w:val="00060794"/>
    <w:rsid w:val="000631D1"/>
    <w:rsid w:val="00067C7A"/>
    <w:rsid w:val="00070493"/>
    <w:rsid w:val="0007276F"/>
    <w:rsid w:val="00074CE9"/>
    <w:rsid w:val="000751E8"/>
    <w:rsid w:val="00082969"/>
    <w:rsid w:val="00084258"/>
    <w:rsid w:val="0008650F"/>
    <w:rsid w:val="00086CCD"/>
    <w:rsid w:val="00090973"/>
    <w:rsid w:val="000917F8"/>
    <w:rsid w:val="00094DB8"/>
    <w:rsid w:val="000956D1"/>
    <w:rsid w:val="000978FE"/>
    <w:rsid w:val="000A026E"/>
    <w:rsid w:val="000A0E07"/>
    <w:rsid w:val="000A6162"/>
    <w:rsid w:val="000A6B9C"/>
    <w:rsid w:val="000B09A0"/>
    <w:rsid w:val="000B2023"/>
    <w:rsid w:val="000B5D9A"/>
    <w:rsid w:val="000C2FC8"/>
    <w:rsid w:val="000C5FA4"/>
    <w:rsid w:val="000C795F"/>
    <w:rsid w:val="000D425C"/>
    <w:rsid w:val="000D73FF"/>
    <w:rsid w:val="000D7ED0"/>
    <w:rsid w:val="000E155E"/>
    <w:rsid w:val="000E1A9D"/>
    <w:rsid w:val="000E2274"/>
    <w:rsid w:val="000E727C"/>
    <w:rsid w:val="000E7595"/>
    <w:rsid w:val="000F2347"/>
    <w:rsid w:val="000F2448"/>
    <w:rsid w:val="000F3982"/>
    <w:rsid w:val="000F4F68"/>
    <w:rsid w:val="000F697F"/>
    <w:rsid w:val="00102B28"/>
    <w:rsid w:val="00104947"/>
    <w:rsid w:val="00104AAC"/>
    <w:rsid w:val="00105897"/>
    <w:rsid w:val="00106191"/>
    <w:rsid w:val="001065AA"/>
    <w:rsid w:val="001107FC"/>
    <w:rsid w:val="00110E93"/>
    <w:rsid w:val="00114CD7"/>
    <w:rsid w:val="00116AA9"/>
    <w:rsid w:val="00116B69"/>
    <w:rsid w:val="001179E2"/>
    <w:rsid w:val="0012004F"/>
    <w:rsid w:val="00126713"/>
    <w:rsid w:val="00126DB2"/>
    <w:rsid w:val="00127083"/>
    <w:rsid w:val="001270F7"/>
    <w:rsid w:val="0012777A"/>
    <w:rsid w:val="0013133A"/>
    <w:rsid w:val="00131A49"/>
    <w:rsid w:val="00133508"/>
    <w:rsid w:val="00133DA9"/>
    <w:rsid w:val="001348C2"/>
    <w:rsid w:val="00140D79"/>
    <w:rsid w:val="00143DDA"/>
    <w:rsid w:val="0014588D"/>
    <w:rsid w:val="00145C36"/>
    <w:rsid w:val="00146D6F"/>
    <w:rsid w:val="0014717A"/>
    <w:rsid w:val="00156173"/>
    <w:rsid w:val="001569DD"/>
    <w:rsid w:val="00157846"/>
    <w:rsid w:val="001631C5"/>
    <w:rsid w:val="0016549D"/>
    <w:rsid w:val="001677A9"/>
    <w:rsid w:val="00167FBB"/>
    <w:rsid w:val="001723FB"/>
    <w:rsid w:val="001728FA"/>
    <w:rsid w:val="00173793"/>
    <w:rsid w:val="0017777B"/>
    <w:rsid w:val="00177CE8"/>
    <w:rsid w:val="00180C1E"/>
    <w:rsid w:val="00181AAF"/>
    <w:rsid w:val="001820B1"/>
    <w:rsid w:val="001847D3"/>
    <w:rsid w:val="00186B80"/>
    <w:rsid w:val="00193884"/>
    <w:rsid w:val="001940EE"/>
    <w:rsid w:val="001949F3"/>
    <w:rsid w:val="0019551C"/>
    <w:rsid w:val="001A229B"/>
    <w:rsid w:val="001A35E7"/>
    <w:rsid w:val="001A4009"/>
    <w:rsid w:val="001B1986"/>
    <w:rsid w:val="001B1F6C"/>
    <w:rsid w:val="001B33BB"/>
    <w:rsid w:val="001B7CF7"/>
    <w:rsid w:val="001C18B6"/>
    <w:rsid w:val="001C6D72"/>
    <w:rsid w:val="001C77DD"/>
    <w:rsid w:val="001D4104"/>
    <w:rsid w:val="001D49DD"/>
    <w:rsid w:val="001D5D8D"/>
    <w:rsid w:val="001D66DE"/>
    <w:rsid w:val="001D6DB1"/>
    <w:rsid w:val="001D7B46"/>
    <w:rsid w:val="001E1733"/>
    <w:rsid w:val="001E368F"/>
    <w:rsid w:val="001F5F93"/>
    <w:rsid w:val="00202991"/>
    <w:rsid w:val="00202D74"/>
    <w:rsid w:val="00204029"/>
    <w:rsid w:val="00204CBE"/>
    <w:rsid w:val="0021010D"/>
    <w:rsid w:val="002110D7"/>
    <w:rsid w:val="0021199D"/>
    <w:rsid w:val="00213587"/>
    <w:rsid w:val="0022160E"/>
    <w:rsid w:val="00222238"/>
    <w:rsid w:val="0022445B"/>
    <w:rsid w:val="00225D47"/>
    <w:rsid w:val="00226980"/>
    <w:rsid w:val="00226A84"/>
    <w:rsid w:val="00232F49"/>
    <w:rsid w:val="00236EA9"/>
    <w:rsid w:val="0024019C"/>
    <w:rsid w:val="00242332"/>
    <w:rsid w:val="00243E6C"/>
    <w:rsid w:val="0024401C"/>
    <w:rsid w:val="00244BBE"/>
    <w:rsid w:val="002460AD"/>
    <w:rsid w:val="00250272"/>
    <w:rsid w:val="002521B2"/>
    <w:rsid w:val="00255357"/>
    <w:rsid w:val="002559AF"/>
    <w:rsid w:val="00256164"/>
    <w:rsid w:val="002568A0"/>
    <w:rsid w:val="0025723A"/>
    <w:rsid w:val="0025759E"/>
    <w:rsid w:val="00260036"/>
    <w:rsid w:val="00260297"/>
    <w:rsid w:val="00260371"/>
    <w:rsid w:val="00264A07"/>
    <w:rsid w:val="00265E19"/>
    <w:rsid w:val="00270C94"/>
    <w:rsid w:val="00272631"/>
    <w:rsid w:val="002774C1"/>
    <w:rsid w:val="00277AF5"/>
    <w:rsid w:val="00280B5B"/>
    <w:rsid w:val="00281ABB"/>
    <w:rsid w:val="00285393"/>
    <w:rsid w:val="00286448"/>
    <w:rsid w:val="0028656D"/>
    <w:rsid w:val="002865DF"/>
    <w:rsid w:val="0029032E"/>
    <w:rsid w:val="00291F94"/>
    <w:rsid w:val="00292049"/>
    <w:rsid w:val="00292767"/>
    <w:rsid w:val="002935AA"/>
    <w:rsid w:val="00293962"/>
    <w:rsid w:val="0029484A"/>
    <w:rsid w:val="002949BF"/>
    <w:rsid w:val="00296D12"/>
    <w:rsid w:val="002A07BE"/>
    <w:rsid w:val="002A2602"/>
    <w:rsid w:val="002A2B71"/>
    <w:rsid w:val="002A3FFD"/>
    <w:rsid w:val="002A7504"/>
    <w:rsid w:val="002B321B"/>
    <w:rsid w:val="002B45C0"/>
    <w:rsid w:val="002B4CB6"/>
    <w:rsid w:val="002C2A20"/>
    <w:rsid w:val="002C5112"/>
    <w:rsid w:val="002C5487"/>
    <w:rsid w:val="002C6BAE"/>
    <w:rsid w:val="002C6DC2"/>
    <w:rsid w:val="002C7D63"/>
    <w:rsid w:val="002D0736"/>
    <w:rsid w:val="002D4231"/>
    <w:rsid w:val="002D48D6"/>
    <w:rsid w:val="002D5F55"/>
    <w:rsid w:val="002D7629"/>
    <w:rsid w:val="002E2565"/>
    <w:rsid w:val="002E3450"/>
    <w:rsid w:val="002E3AE2"/>
    <w:rsid w:val="002E3BDB"/>
    <w:rsid w:val="002E4323"/>
    <w:rsid w:val="002E4702"/>
    <w:rsid w:val="002E5F0E"/>
    <w:rsid w:val="002F31E8"/>
    <w:rsid w:val="002F3D4B"/>
    <w:rsid w:val="002F5C24"/>
    <w:rsid w:val="002F698F"/>
    <w:rsid w:val="00300972"/>
    <w:rsid w:val="00300AAC"/>
    <w:rsid w:val="00301B17"/>
    <w:rsid w:val="003051D5"/>
    <w:rsid w:val="00306F02"/>
    <w:rsid w:val="0030780E"/>
    <w:rsid w:val="00307E78"/>
    <w:rsid w:val="00312AE2"/>
    <w:rsid w:val="00313813"/>
    <w:rsid w:val="00314021"/>
    <w:rsid w:val="003176E7"/>
    <w:rsid w:val="00321006"/>
    <w:rsid w:val="00326ACC"/>
    <w:rsid w:val="00327178"/>
    <w:rsid w:val="00333BAE"/>
    <w:rsid w:val="00335320"/>
    <w:rsid w:val="00337FD0"/>
    <w:rsid w:val="0034036C"/>
    <w:rsid w:val="00341B98"/>
    <w:rsid w:val="00342905"/>
    <w:rsid w:val="00344B70"/>
    <w:rsid w:val="00345D2F"/>
    <w:rsid w:val="00346594"/>
    <w:rsid w:val="00346A35"/>
    <w:rsid w:val="00346A51"/>
    <w:rsid w:val="00347063"/>
    <w:rsid w:val="00351BFD"/>
    <w:rsid w:val="003527A2"/>
    <w:rsid w:val="00352B87"/>
    <w:rsid w:val="00353E4E"/>
    <w:rsid w:val="00356118"/>
    <w:rsid w:val="0035619A"/>
    <w:rsid w:val="003565FA"/>
    <w:rsid w:val="0035735C"/>
    <w:rsid w:val="00360DD9"/>
    <w:rsid w:val="0036222C"/>
    <w:rsid w:val="00362560"/>
    <w:rsid w:val="00362EB0"/>
    <w:rsid w:val="003632EA"/>
    <w:rsid w:val="003646D1"/>
    <w:rsid w:val="00366CAE"/>
    <w:rsid w:val="003710D2"/>
    <w:rsid w:val="00371FE0"/>
    <w:rsid w:val="003734F1"/>
    <w:rsid w:val="00380D22"/>
    <w:rsid w:val="00384DBA"/>
    <w:rsid w:val="00386C06"/>
    <w:rsid w:val="00387C9E"/>
    <w:rsid w:val="00390A94"/>
    <w:rsid w:val="00391C34"/>
    <w:rsid w:val="00392DA3"/>
    <w:rsid w:val="003934D8"/>
    <w:rsid w:val="00393AF6"/>
    <w:rsid w:val="003A13C3"/>
    <w:rsid w:val="003A29F0"/>
    <w:rsid w:val="003A5A54"/>
    <w:rsid w:val="003A5E1E"/>
    <w:rsid w:val="003A5EB1"/>
    <w:rsid w:val="003A6140"/>
    <w:rsid w:val="003A65E6"/>
    <w:rsid w:val="003A6D0B"/>
    <w:rsid w:val="003A6D9C"/>
    <w:rsid w:val="003B6087"/>
    <w:rsid w:val="003B6F51"/>
    <w:rsid w:val="003C1F40"/>
    <w:rsid w:val="003C2685"/>
    <w:rsid w:val="003D0584"/>
    <w:rsid w:val="003D6307"/>
    <w:rsid w:val="003D635E"/>
    <w:rsid w:val="003D6501"/>
    <w:rsid w:val="003D7AA9"/>
    <w:rsid w:val="003E1604"/>
    <w:rsid w:val="003E3F1A"/>
    <w:rsid w:val="003E6E1C"/>
    <w:rsid w:val="003F0036"/>
    <w:rsid w:val="003F006B"/>
    <w:rsid w:val="003F0E66"/>
    <w:rsid w:val="003F19BB"/>
    <w:rsid w:val="003F19BF"/>
    <w:rsid w:val="003F2818"/>
    <w:rsid w:val="003F43F7"/>
    <w:rsid w:val="003F52F4"/>
    <w:rsid w:val="003F70D6"/>
    <w:rsid w:val="003F7111"/>
    <w:rsid w:val="003F7B50"/>
    <w:rsid w:val="00401E5F"/>
    <w:rsid w:val="0040290F"/>
    <w:rsid w:val="00405683"/>
    <w:rsid w:val="00415248"/>
    <w:rsid w:val="00416C66"/>
    <w:rsid w:val="0042068C"/>
    <w:rsid w:val="0042137D"/>
    <w:rsid w:val="00421878"/>
    <w:rsid w:val="00421B2A"/>
    <w:rsid w:val="0042222D"/>
    <w:rsid w:val="00423086"/>
    <w:rsid w:val="00423F79"/>
    <w:rsid w:val="0042579F"/>
    <w:rsid w:val="00433E49"/>
    <w:rsid w:val="00433F15"/>
    <w:rsid w:val="004457BE"/>
    <w:rsid w:val="004466F0"/>
    <w:rsid w:val="004468B6"/>
    <w:rsid w:val="00447434"/>
    <w:rsid w:val="00456403"/>
    <w:rsid w:val="00461B37"/>
    <w:rsid w:val="0046594F"/>
    <w:rsid w:val="004664A7"/>
    <w:rsid w:val="0046698A"/>
    <w:rsid w:val="004711CC"/>
    <w:rsid w:val="00472C31"/>
    <w:rsid w:val="00474A5F"/>
    <w:rsid w:val="004766CF"/>
    <w:rsid w:val="00476CFE"/>
    <w:rsid w:val="00476FFB"/>
    <w:rsid w:val="00480235"/>
    <w:rsid w:val="004808C6"/>
    <w:rsid w:val="00480FA7"/>
    <w:rsid w:val="004811BE"/>
    <w:rsid w:val="00481B03"/>
    <w:rsid w:val="0048260A"/>
    <w:rsid w:val="00482CAC"/>
    <w:rsid w:val="00484B97"/>
    <w:rsid w:val="004852AD"/>
    <w:rsid w:val="004861B5"/>
    <w:rsid w:val="0049016E"/>
    <w:rsid w:val="00491C12"/>
    <w:rsid w:val="00492640"/>
    <w:rsid w:val="00493A4A"/>
    <w:rsid w:val="004945E3"/>
    <w:rsid w:val="00494D4F"/>
    <w:rsid w:val="00497844"/>
    <w:rsid w:val="004A01DE"/>
    <w:rsid w:val="004A1380"/>
    <w:rsid w:val="004A4649"/>
    <w:rsid w:val="004A4D07"/>
    <w:rsid w:val="004A5C92"/>
    <w:rsid w:val="004A673D"/>
    <w:rsid w:val="004A7997"/>
    <w:rsid w:val="004B1B59"/>
    <w:rsid w:val="004B45A9"/>
    <w:rsid w:val="004B479C"/>
    <w:rsid w:val="004C0135"/>
    <w:rsid w:val="004C134B"/>
    <w:rsid w:val="004C1AD1"/>
    <w:rsid w:val="004C3C6C"/>
    <w:rsid w:val="004C5955"/>
    <w:rsid w:val="004C7948"/>
    <w:rsid w:val="004C7FC3"/>
    <w:rsid w:val="004D0155"/>
    <w:rsid w:val="004D052F"/>
    <w:rsid w:val="004D2C52"/>
    <w:rsid w:val="004D3D9E"/>
    <w:rsid w:val="004D6E40"/>
    <w:rsid w:val="004D6F66"/>
    <w:rsid w:val="004E00E7"/>
    <w:rsid w:val="004E158B"/>
    <w:rsid w:val="004E6267"/>
    <w:rsid w:val="004E68FC"/>
    <w:rsid w:val="004E74E4"/>
    <w:rsid w:val="004F6274"/>
    <w:rsid w:val="004F670A"/>
    <w:rsid w:val="00500994"/>
    <w:rsid w:val="005019A5"/>
    <w:rsid w:val="00501A76"/>
    <w:rsid w:val="005034E6"/>
    <w:rsid w:val="0050551E"/>
    <w:rsid w:val="00510DB6"/>
    <w:rsid w:val="005153A5"/>
    <w:rsid w:val="00521BCD"/>
    <w:rsid w:val="00521DF7"/>
    <w:rsid w:val="005246A8"/>
    <w:rsid w:val="00527345"/>
    <w:rsid w:val="0052765D"/>
    <w:rsid w:val="005277DF"/>
    <w:rsid w:val="00533363"/>
    <w:rsid w:val="00536AC9"/>
    <w:rsid w:val="005413D0"/>
    <w:rsid w:val="005415C9"/>
    <w:rsid w:val="005452E4"/>
    <w:rsid w:val="00546190"/>
    <w:rsid w:val="00554E8A"/>
    <w:rsid w:val="005575BC"/>
    <w:rsid w:val="00557ED4"/>
    <w:rsid w:val="005640D4"/>
    <w:rsid w:val="00564B15"/>
    <w:rsid w:val="00566673"/>
    <w:rsid w:val="00570B26"/>
    <w:rsid w:val="00572AB6"/>
    <w:rsid w:val="00573799"/>
    <w:rsid w:val="00574FFE"/>
    <w:rsid w:val="00575B89"/>
    <w:rsid w:val="00583D51"/>
    <w:rsid w:val="005842DD"/>
    <w:rsid w:val="005856E6"/>
    <w:rsid w:val="005901CB"/>
    <w:rsid w:val="00591884"/>
    <w:rsid w:val="00592948"/>
    <w:rsid w:val="005966D3"/>
    <w:rsid w:val="005A2337"/>
    <w:rsid w:val="005A4006"/>
    <w:rsid w:val="005A743F"/>
    <w:rsid w:val="005B32B6"/>
    <w:rsid w:val="005B349F"/>
    <w:rsid w:val="005B4297"/>
    <w:rsid w:val="005B6463"/>
    <w:rsid w:val="005B7D34"/>
    <w:rsid w:val="005C03F0"/>
    <w:rsid w:val="005C31A6"/>
    <w:rsid w:val="005C5475"/>
    <w:rsid w:val="005C588A"/>
    <w:rsid w:val="005C6837"/>
    <w:rsid w:val="005C6C03"/>
    <w:rsid w:val="005C6C7E"/>
    <w:rsid w:val="005D08C2"/>
    <w:rsid w:val="005D266B"/>
    <w:rsid w:val="005D2D90"/>
    <w:rsid w:val="005D5BC3"/>
    <w:rsid w:val="005E3D92"/>
    <w:rsid w:val="005E5BDA"/>
    <w:rsid w:val="005E5C93"/>
    <w:rsid w:val="005E7DA6"/>
    <w:rsid w:val="005F11A9"/>
    <w:rsid w:val="005F163E"/>
    <w:rsid w:val="005F503A"/>
    <w:rsid w:val="00604128"/>
    <w:rsid w:val="00606302"/>
    <w:rsid w:val="00607376"/>
    <w:rsid w:val="00610C64"/>
    <w:rsid w:val="00615160"/>
    <w:rsid w:val="00620694"/>
    <w:rsid w:val="006220FF"/>
    <w:rsid w:val="006228F2"/>
    <w:rsid w:val="0062354B"/>
    <w:rsid w:val="00624EFE"/>
    <w:rsid w:val="006256CD"/>
    <w:rsid w:val="00625CAD"/>
    <w:rsid w:val="00625CFB"/>
    <w:rsid w:val="00627B7F"/>
    <w:rsid w:val="00632D75"/>
    <w:rsid w:val="0063564B"/>
    <w:rsid w:val="0063566B"/>
    <w:rsid w:val="006361B8"/>
    <w:rsid w:val="00636694"/>
    <w:rsid w:val="00637346"/>
    <w:rsid w:val="00641BBE"/>
    <w:rsid w:val="00644D36"/>
    <w:rsid w:val="00647586"/>
    <w:rsid w:val="00650771"/>
    <w:rsid w:val="00651199"/>
    <w:rsid w:val="00654B6F"/>
    <w:rsid w:val="00657764"/>
    <w:rsid w:val="00657D31"/>
    <w:rsid w:val="00660B8A"/>
    <w:rsid w:val="00670D62"/>
    <w:rsid w:val="006732F6"/>
    <w:rsid w:val="00676135"/>
    <w:rsid w:val="00680040"/>
    <w:rsid w:val="00683F84"/>
    <w:rsid w:val="00684F9D"/>
    <w:rsid w:val="0069046F"/>
    <w:rsid w:val="00691A4D"/>
    <w:rsid w:val="006A0257"/>
    <w:rsid w:val="006A09C0"/>
    <w:rsid w:val="006A0E29"/>
    <w:rsid w:val="006A14F8"/>
    <w:rsid w:val="006A18A9"/>
    <w:rsid w:val="006A365C"/>
    <w:rsid w:val="006A6729"/>
    <w:rsid w:val="006B1712"/>
    <w:rsid w:val="006C08CE"/>
    <w:rsid w:val="006C0903"/>
    <w:rsid w:val="006C176F"/>
    <w:rsid w:val="006C5455"/>
    <w:rsid w:val="006C6286"/>
    <w:rsid w:val="006D3289"/>
    <w:rsid w:val="006D32F9"/>
    <w:rsid w:val="006D76E0"/>
    <w:rsid w:val="006E3071"/>
    <w:rsid w:val="006E327F"/>
    <w:rsid w:val="006E4057"/>
    <w:rsid w:val="006E4C6B"/>
    <w:rsid w:val="006E5416"/>
    <w:rsid w:val="006E54C3"/>
    <w:rsid w:val="006E5CA6"/>
    <w:rsid w:val="006F18C6"/>
    <w:rsid w:val="006F707B"/>
    <w:rsid w:val="006F7C51"/>
    <w:rsid w:val="00703ECF"/>
    <w:rsid w:val="00706446"/>
    <w:rsid w:val="00706781"/>
    <w:rsid w:val="00711E6A"/>
    <w:rsid w:val="007146FF"/>
    <w:rsid w:val="007149FA"/>
    <w:rsid w:val="00714D5B"/>
    <w:rsid w:val="00717DD5"/>
    <w:rsid w:val="007227D6"/>
    <w:rsid w:val="00724E4D"/>
    <w:rsid w:val="00725F46"/>
    <w:rsid w:val="007261F7"/>
    <w:rsid w:val="00726D35"/>
    <w:rsid w:val="00726F91"/>
    <w:rsid w:val="00731A17"/>
    <w:rsid w:val="00732346"/>
    <w:rsid w:val="00735435"/>
    <w:rsid w:val="00736097"/>
    <w:rsid w:val="00740DBC"/>
    <w:rsid w:val="00740F1A"/>
    <w:rsid w:val="00742031"/>
    <w:rsid w:val="007504A5"/>
    <w:rsid w:val="0075213C"/>
    <w:rsid w:val="0076290D"/>
    <w:rsid w:val="00763CF5"/>
    <w:rsid w:val="00764E0C"/>
    <w:rsid w:val="00766E5C"/>
    <w:rsid w:val="00770984"/>
    <w:rsid w:val="00770A5A"/>
    <w:rsid w:val="00771538"/>
    <w:rsid w:val="00771E58"/>
    <w:rsid w:val="0077233E"/>
    <w:rsid w:val="007743CD"/>
    <w:rsid w:val="00780050"/>
    <w:rsid w:val="007801AA"/>
    <w:rsid w:val="00783110"/>
    <w:rsid w:val="00784311"/>
    <w:rsid w:val="0078614F"/>
    <w:rsid w:val="00786D21"/>
    <w:rsid w:val="00791D31"/>
    <w:rsid w:val="007921F8"/>
    <w:rsid w:val="0079269E"/>
    <w:rsid w:val="007933BF"/>
    <w:rsid w:val="007948AB"/>
    <w:rsid w:val="007951C4"/>
    <w:rsid w:val="0079540F"/>
    <w:rsid w:val="00796106"/>
    <w:rsid w:val="007A09E3"/>
    <w:rsid w:val="007A0E11"/>
    <w:rsid w:val="007A1147"/>
    <w:rsid w:val="007A31B0"/>
    <w:rsid w:val="007A4EF2"/>
    <w:rsid w:val="007A63C8"/>
    <w:rsid w:val="007B10E6"/>
    <w:rsid w:val="007B557D"/>
    <w:rsid w:val="007C1F40"/>
    <w:rsid w:val="007C24AA"/>
    <w:rsid w:val="007C2C9E"/>
    <w:rsid w:val="007C2D54"/>
    <w:rsid w:val="007C3A51"/>
    <w:rsid w:val="007C3B9B"/>
    <w:rsid w:val="007C5E16"/>
    <w:rsid w:val="007C6610"/>
    <w:rsid w:val="007C78C6"/>
    <w:rsid w:val="007D7959"/>
    <w:rsid w:val="007E1CAF"/>
    <w:rsid w:val="007E3AA2"/>
    <w:rsid w:val="007E5A5D"/>
    <w:rsid w:val="007F6D34"/>
    <w:rsid w:val="007F73F2"/>
    <w:rsid w:val="0080376C"/>
    <w:rsid w:val="00804133"/>
    <w:rsid w:val="00805678"/>
    <w:rsid w:val="00807188"/>
    <w:rsid w:val="00810058"/>
    <w:rsid w:val="00810867"/>
    <w:rsid w:val="00811ED8"/>
    <w:rsid w:val="00812A3D"/>
    <w:rsid w:val="008139CF"/>
    <w:rsid w:val="00815EF3"/>
    <w:rsid w:val="00816091"/>
    <w:rsid w:val="0082006B"/>
    <w:rsid w:val="00820633"/>
    <w:rsid w:val="00820D84"/>
    <w:rsid w:val="00823805"/>
    <w:rsid w:val="00823F27"/>
    <w:rsid w:val="00826ED5"/>
    <w:rsid w:val="0083035C"/>
    <w:rsid w:val="008317B8"/>
    <w:rsid w:val="008320A0"/>
    <w:rsid w:val="00835195"/>
    <w:rsid w:val="0084485B"/>
    <w:rsid w:val="008521CB"/>
    <w:rsid w:val="008524D9"/>
    <w:rsid w:val="008554F3"/>
    <w:rsid w:val="00856174"/>
    <w:rsid w:val="00856299"/>
    <w:rsid w:val="0085774D"/>
    <w:rsid w:val="00862C10"/>
    <w:rsid w:val="0086755A"/>
    <w:rsid w:val="00867A63"/>
    <w:rsid w:val="008720CC"/>
    <w:rsid w:val="00875E51"/>
    <w:rsid w:val="00877088"/>
    <w:rsid w:val="00880496"/>
    <w:rsid w:val="00885CFF"/>
    <w:rsid w:val="0088665E"/>
    <w:rsid w:val="00887DE3"/>
    <w:rsid w:val="00896B44"/>
    <w:rsid w:val="008A2891"/>
    <w:rsid w:val="008A2E7F"/>
    <w:rsid w:val="008A4B10"/>
    <w:rsid w:val="008A5A22"/>
    <w:rsid w:val="008A609F"/>
    <w:rsid w:val="008A6A5E"/>
    <w:rsid w:val="008A6F49"/>
    <w:rsid w:val="008B1427"/>
    <w:rsid w:val="008B161B"/>
    <w:rsid w:val="008B486D"/>
    <w:rsid w:val="008B60EC"/>
    <w:rsid w:val="008B771D"/>
    <w:rsid w:val="008C0909"/>
    <w:rsid w:val="008C1D8F"/>
    <w:rsid w:val="008C5636"/>
    <w:rsid w:val="008D0580"/>
    <w:rsid w:val="008D14AE"/>
    <w:rsid w:val="008D1807"/>
    <w:rsid w:val="008D20A4"/>
    <w:rsid w:val="008D20B4"/>
    <w:rsid w:val="008D3936"/>
    <w:rsid w:val="008D4238"/>
    <w:rsid w:val="008D575F"/>
    <w:rsid w:val="008D6D5E"/>
    <w:rsid w:val="008E0285"/>
    <w:rsid w:val="008E126D"/>
    <w:rsid w:val="008E13A5"/>
    <w:rsid w:val="008E27AD"/>
    <w:rsid w:val="008E385F"/>
    <w:rsid w:val="008E438C"/>
    <w:rsid w:val="008E47FB"/>
    <w:rsid w:val="008E585D"/>
    <w:rsid w:val="008F36A3"/>
    <w:rsid w:val="008F3C83"/>
    <w:rsid w:val="008F42E8"/>
    <w:rsid w:val="008F4AA1"/>
    <w:rsid w:val="008F4B59"/>
    <w:rsid w:val="008F61D4"/>
    <w:rsid w:val="008F69D4"/>
    <w:rsid w:val="008F7676"/>
    <w:rsid w:val="00910300"/>
    <w:rsid w:val="00911AFE"/>
    <w:rsid w:val="00914CA9"/>
    <w:rsid w:val="009150FD"/>
    <w:rsid w:val="00920178"/>
    <w:rsid w:val="00922D7F"/>
    <w:rsid w:val="00922E09"/>
    <w:rsid w:val="00923715"/>
    <w:rsid w:val="00926202"/>
    <w:rsid w:val="00926F46"/>
    <w:rsid w:val="00930150"/>
    <w:rsid w:val="0093219F"/>
    <w:rsid w:val="00934633"/>
    <w:rsid w:val="009349B3"/>
    <w:rsid w:val="0093506D"/>
    <w:rsid w:val="009353C3"/>
    <w:rsid w:val="00935E15"/>
    <w:rsid w:val="00940D5E"/>
    <w:rsid w:val="00941692"/>
    <w:rsid w:val="009448C7"/>
    <w:rsid w:val="00945495"/>
    <w:rsid w:val="00945737"/>
    <w:rsid w:val="009527A6"/>
    <w:rsid w:val="00953657"/>
    <w:rsid w:val="009551F8"/>
    <w:rsid w:val="00960798"/>
    <w:rsid w:val="00961EC2"/>
    <w:rsid w:val="00962656"/>
    <w:rsid w:val="00964EEB"/>
    <w:rsid w:val="00965182"/>
    <w:rsid w:val="00965276"/>
    <w:rsid w:val="00973006"/>
    <w:rsid w:val="00976813"/>
    <w:rsid w:val="00980371"/>
    <w:rsid w:val="00980B06"/>
    <w:rsid w:val="00984A5D"/>
    <w:rsid w:val="009948B2"/>
    <w:rsid w:val="00994F63"/>
    <w:rsid w:val="00996A6A"/>
    <w:rsid w:val="009A278E"/>
    <w:rsid w:val="009A3A74"/>
    <w:rsid w:val="009A66F3"/>
    <w:rsid w:val="009B0F39"/>
    <w:rsid w:val="009B1096"/>
    <w:rsid w:val="009B2BC4"/>
    <w:rsid w:val="009B3869"/>
    <w:rsid w:val="009B496D"/>
    <w:rsid w:val="009B5457"/>
    <w:rsid w:val="009C1C32"/>
    <w:rsid w:val="009C3A89"/>
    <w:rsid w:val="009C4ABD"/>
    <w:rsid w:val="009D14E0"/>
    <w:rsid w:val="009D5314"/>
    <w:rsid w:val="009E218B"/>
    <w:rsid w:val="009E3751"/>
    <w:rsid w:val="009E484E"/>
    <w:rsid w:val="009E536A"/>
    <w:rsid w:val="009E6780"/>
    <w:rsid w:val="009E7BDF"/>
    <w:rsid w:val="009F7494"/>
    <w:rsid w:val="009F7908"/>
    <w:rsid w:val="00A001FF"/>
    <w:rsid w:val="00A046DF"/>
    <w:rsid w:val="00A05F0D"/>
    <w:rsid w:val="00A074AC"/>
    <w:rsid w:val="00A118CA"/>
    <w:rsid w:val="00A1443A"/>
    <w:rsid w:val="00A15878"/>
    <w:rsid w:val="00A22957"/>
    <w:rsid w:val="00A2394B"/>
    <w:rsid w:val="00A2577B"/>
    <w:rsid w:val="00A30E5A"/>
    <w:rsid w:val="00A328B8"/>
    <w:rsid w:val="00A33F7E"/>
    <w:rsid w:val="00A3505D"/>
    <w:rsid w:val="00A35961"/>
    <w:rsid w:val="00A35CBD"/>
    <w:rsid w:val="00A4004F"/>
    <w:rsid w:val="00A40AC1"/>
    <w:rsid w:val="00A41A22"/>
    <w:rsid w:val="00A51D4A"/>
    <w:rsid w:val="00A525F4"/>
    <w:rsid w:val="00A53C47"/>
    <w:rsid w:val="00A57D69"/>
    <w:rsid w:val="00A62CBA"/>
    <w:rsid w:val="00A63639"/>
    <w:rsid w:val="00A6798A"/>
    <w:rsid w:val="00A76DBB"/>
    <w:rsid w:val="00A808F2"/>
    <w:rsid w:val="00A927DF"/>
    <w:rsid w:val="00A92CCD"/>
    <w:rsid w:val="00A93350"/>
    <w:rsid w:val="00A93B02"/>
    <w:rsid w:val="00A95025"/>
    <w:rsid w:val="00A959DB"/>
    <w:rsid w:val="00A9677E"/>
    <w:rsid w:val="00A96B1E"/>
    <w:rsid w:val="00AA323B"/>
    <w:rsid w:val="00AA3B82"/>
    <w:rsid w:val="00AA468B"/>
    <w:rsid w:val="00AA5428"/>
    <w:rsid w:val="00AA6567"/>
    <w:rsid w:val="00AB119A"/>
    <w:rsid w:val="00AB1F97"/>
    <w:rsid w:val="00AB44DC"/>
    <w:rsid w:val="00AB635A"/>
    <w:rsid w:val="00AC4E8A"/>
    <w:rsid w:val="00AC6406"/>
    <w:rsid w:val="00AC660C"/>
    <w:rsid w:val="00AC6E08"/>
    <w:rsid w:val="00AD139B"/>
    <w:rsid w:val="00AD1CF5"/>
    <w:rsid w:val="00AD3DD9"/>
    <w:rsid w:val="00AD4367"/>
    <w:rsid w:val="00AD4B08"/>
    <w:rsid w:val="00AD51CC"/>
    <w:rsid w:val="00AE1CC6"/>
    <w:rsid w:val="00AE1CD2"/>
    <w:rsid w:val="00AE4591"/>
    <w:rsid w:val="00AE5129"/>
    <w:rsid w:val="00AF05DF"/>
    <w:rsid w:val="00AF1F5A"/>
    <w:rsid w:val="00AF345C"/>
    <w:rsid w:val="00AF788B"/>
    <w:rsid w:val="00AF7AD5"/>
    <w:rsid w:val="00B00670"/>
    <w:rsid w:val="00B006FF"/>
    <w:rsid w:val="00B01309"/>
    <w:rsid w:val="00B02B92"/>
    <w:rsid w:val="00B04542"/>
    <w:rsid w:val="00B079A0"/>
    <w:rsid w:val="00B07C42"/>
    <w:rsid w:val="00B107EF"/>
    <w:rsid w:val="00B16EBA"/>
    <w:rsid w:val="00B20831"/>
    <w:rsid w:val="00B21595"/>
    <w:rsid w:val="00B23605"/>
    <w:rsid w:val="00B25D93"/>
    <w:rsid w:val="00B27D7B"/>
    <w:rsid w:val="00B30438"/>
    <w:rsid w:val="00B3109B"/>
    <w:rsid w:val="00B32FD0"/>
    <w:rsid w:val="00B356A7"/>
    <w:rsid w:val="00B35CD1"/>
    <w:rsid w:val="00B3616A"/>
    <w:rsid w:val="00B3668C"/>
    <w:rsid w:val="00B376E6"/>
    <w:rsid w:val="00B405E8"/>
    <w:rsid w:val="00B42114"/>
    <w:rsid w:val="00B44AB2"/>
    <w:rsid w:val="00B45529"/>
    <w:rsid w:val="00B4558A"/>
    <w:rsid w:val="00B46B01"/>
    <w:rsid w:val="00B475CC"/>
    <w:rsid w:val="00B52225"/>
    <w:rsid w:val="00B54D3B"/>
    <w:rsid w:val="00B578C6"/>
    <w:rsid w:val="00B6146E"/>
    <w:rsid w:val="00B617D1"/>
    <w:rsid w:val="00B63140"/>
    <w:rsid w:val="00B65D36"/>
    <w:rsid w:val="00B66B65"/>
    <w:rsid w:val="00B704A9"/>
    <w:rsid w:val="00B70792"/>
    <w:rsid w:val="00B7140E"/>
    <w:rsid w:val="00B757CE"/>
    <w:rsid w:val="00B8151A"/>
    <w:rsid w:val="00B82EAD"/>
    <w:rsid w:val="00B82FE5"/>
    <w:rsid w:val="00B84431"/>
    <w:rsid w:val="00B846D9"/>
    <w:rsid w:val="00B861A8"/>
    <w:rsid w:val="00B915F3"/>
    <w:rsid w:val="00B94BB8"/>
    <w:rsid w:val="00B94D6A"/>
    <w:rsid w:val="00B95764"/>
    <w:rsid w:val="00BA0786"/>
    <w:rsid w:val="00BA54DE"/>
    <w:rsid w:val="00BB1C5C"/>
    <w:rsid w:val="00BB3FD6"/>
    <w:rsid w:val="00BB5030"/>
    <w:rsid w:val="00BB6F66"/>
    <w:rsid w:val="00BB778D"/>
    <w:rsid w:val="00BC037A"/>
    <w:rsid w:val="00BC17A2"/>
    <w:rsid w:val="00BC515D"/>
    <w:rsid w:val="00BC5285"/>
    <w:rsid w:val="00BC5C83"/>
    <w:rsid w:val="00BC5CEC"/>
    <w:rsid w:val="00BC6A62"/>
    <w:rsid w:val="00BD1864"/>
    <w:rsid w:val="00BD353A"/>
    <w:rsid w:val="00BD41DF"/>
    <w:rsid w:val="00BD41F8"/>
    <w:rsid w:val="00BD5A99"/>
    <w:rsid w:val="00BD6278"/>
    <w:rsid w:val="00BE1986"/>
    <w:rsid w:val="00BE2D9E"/>
    <w:rsid w:val="00BE7DA3"/>
    <w:rsid w:val="00BF0DA6"/>
    <w:rsid w:val="00BF3D88"/>
    <w:rsid w:val="00BF4E5B"/>
    <w:rsid w:val="00BF6DE0"/>
    <w:rsid w:val="00BF762C"/>
    <w:rsid w:val="00C0394C"/>
    <w:rsid w:val="00C05EDE"/>
    <w:rsid w:val="00C10C8F"/>
    <w:rsid w:val="00C10D3F"/>
    <w:rsid w:val="00C123C2"/>
    <w:rsid w:val="00C13323"/>
    <w:rsid w:val="00C21381"/>
    <w:rsid w:val="00C2171E"/>
    <w:rsid w:val="00C25399"/>
    <w:rsid w:val="00C31152"/>
    <w:rsid w:val="00C31C6B"/>
    <w:rsid w:val="00C32E0F"/>
    <w:rsid w:val="00C40467"/>
    <w:rsid w:val="00C4219D"/>
    <w:rsid w:val="00C45143"/>
    <w:rsid w:val="00C4635C"/>
    <w:rsid w:val="00C547B9"/>
    <w:rsid w:val="00C54E01"/>
    <w:rsid w:val="00C57F81"/>
    <w:rsid w:val="00C60C07"/>
    <w:rsid w:val="00C61232"/>
    <w:rsid w:val="00C63D83"/>
    <w:rsid w:val="00C6479E"/>
    <w:rsid w:val="00C6512F"/>
    <w:rsid w:val="00C65A72"/>
    <w:rsid w:val="00C67060"/>
    <w:rsid w:val="00C7378C"/>
    <w:rsid w:val="00C73978"/>
    <w:rsid w:val="00C74310"/>
    <w:rsid w:val="00C75B6C"/>
    <w:rsid w:val="00C81638"/>
    <w:rsid w:val="00C82140"/>
    <w:rsid w:val="00C8219A"/>
    <w:rsid w:val="00C8341C"/>
    <w:rsid w:val="00C848D7"/>
    <w:rsid w:val="00C854AD"/>
    <w:rsid w:val="00C868F5"/>
    <w:rsid w:val="00C8F1CF"/>
    <w:rsid w:val="00C92709"/>
    <w:rsid w:val="00C942C6"/>
    <w:rsid w:val="00C94644"/>
    <w:rsid w:val="00C96D5C"/>
    <w:rsid w:val="00C9701C"/>
    <w:rsid w:val="00CA33BD"/>
    <w:rsid w:val="00CA58D2"/>
    <w:rsid w:val="00CA66AB"/>
    <w:rsid w:val="00CB181B"/>
    <w:rsid w:val="00CB25B4"/>
    <w:rsid w:val="00CB7E79"/>
    <w:rsid w:val="00CC01F0"/>
    <w:rsid w:val="00CC133B"/>
    <w:rsid w:val="00CC2088"/>
    <w:rsid w:val="00CC2146"/>
    <w:rsid w:val="00CC4C2C"/>
    <w:rsid w:val="00CC5790"/>
    <w:rsid w:val="00CC7629"/>
    <w:rsid w:val="00CD10F2"/>
    <w:rsid w:val="00CD1A3F"/>
    <w:rsid w:val="00CD3E21"/>
    <w:rsid w:val="00CD7EC7"/>
    <w:rsid w:val="00CE0041"/>
    <w:rsid w:val="00CE03B1"/>
    <w:rsid w:val="00CE09EF"/>
    <w:rsid w:val="00CE3C9C"/>
    <w:rsid w:val="00CE78E4"/>
    <w:rsid w:val="00CE9845"/>
    <w:rsid w:val="00CF00B8"/>
    <w:rsid w:val="00CF0D40"/>
    <w:rsid w:val="00CF40E2"/>
    <w:rsid w:val="00CF6012"/>
    <w:rsid w:val="00CF7A9F"/>
    <w:rsid w:val="00D00963"/>
    <w:rsid w:val="00D01622"/>
    <w:rsid w:val="00D022DD"/>
    <w:rsid w:val="00D02FEE"/>
    <w:rsid w:val="00D04046"/>
    <w:rsid w:val="00D06152"/>
    <w:rsid w:val="00D06555"/>
    <w:rsid w:val="00D0726C"/>
    <w:rsid w:val="00D07A61"/>
    <w:rsid w:val="00D07DBC"/>
    <w:rsid w:val="00D10C49"/>
    <w:rsid w:val="00D131F5"/>
    <w:rsid w:val="00D14C3E"/>
    <w:rsid w:val="00D14E59"/>
    <w:rsid w:val="00D16896"/>
    <w:rsid w:val="00D17866"/>
    <w:rsid w:val="00D218A9"/>
    <w:rsid w:val="00D21B9A"/>
    <w:rsid w:val="00D22E74"/>
    <w:rsid w:val="00D25DAD"/>
    <w:rsid w:val="00D263F4"/>
    <w:rsid w:val="00D30BAF"/>
    <w:rsid w:val="00D30FE0"/>
    <w:rsid w:val="00D31A36"/>
    <w:rsid w:val="00D31C0A"/>
    <w:rsid w:val="00D344F3"/>
    <w:rsid w:val="00D3501D"/>
    <w:rsid w:val="00D356F5"/>
    <w:rsid w:val="00D41705"/>
    <w:rsid w:val="00D472FD"/>
    <w:rsid w:val="00D526D7"/>
    <w:rsid w:val="00D52F40"/>
    <w:rsid w:val="00D572DF"/>
    <w:rsid w:val="00D57A5D"/>
    <w:rsid w:val="00D6284B"/>
    <w:rsid w:val="00D63154"/>
    <w:rsid w:val="00D64144"/>
    <w:rsid w:val="00D6594D"/>
    <w:rsid w:val="00D67E87"/>
    <w:rsid w:val="00D72D06"/>
    <w:rsid w:val="00D75661"/>
    <w:rsid w:val="00D75C1B"/>
    <w:rsid w:val="00D76351"/>
    <w:rsid w:val="00D763F2"/>
    <w:rsid w:val="00D81656"/>
    <w:rsid w:val="00D82A8D"/>
    <w:rsid w:val="00D8485D"/>
    <w:rsid w:val="00D85AC2"/>
    <w:rsid w:val="00D91B4F"/>
    <w:rsid w:val="00D91EB3"/>
    <w:rsid w:val="00D935D0"/>
    <w:rsid w:val="00D95981"/>
    <w:rsid w:val="00D959B7"/>
    <w:rsid w:val="00D9600B"/>
    <w:rsid w:val="00D97BAA"/>
    <w:rsid w:val="00DA1158"/>
    <w:rsid w:val="00DA2508"/>
    <w:rsid w:val="00DA6C8C"/>
    <w:rsid w:val="00DB07B7"/>
    <w:rsid w:val="00DB0DAD"/>
    <w:rsid w:val="00DB40E0"/>
    <w:rsid w:val="00DC36BC"/>
    <w:rsid w:val="00DC5A21"/>
    <w:rsid w:val="00DC7CDC"/>
    <w:rsid w:val="00DD063B"/>
    <w:rsid w:val="00DD0903"/>
    <w:rsid w:val="00DD0FDC"/>
    <w:rsid w:val="00DD644F"/>
    <w:rsid w:val="00DD6DE4"/>
    <w:rsid w:val="00DE14E6"/>
    <w:rsid w:val="00DF2C9E"/>
    <w:rsid w:val="00DF3FE5"/>
    <w:rsid w:val="00DF51C6"/>
    <w:rsid w:val="00DF7159"/>
    <w:rsid w:val="00E00298"/>
    <w:rsid w:val="00E00A16"/>
    <w:rsid w:val="00E00A4D"/>
    <w:rsid w:val="00E01455"/>
    <w:rsid w:val="00E02318"/>
    <w:rsid w:val="00E041E8"/>
    <w:rsid w:val="00E0479A"/>
    <w:rsid w:val="00E062C9"/>
    <w:rsid w:val="00E06B43"/>
    <w:rsid w:val="00E07805"/>
    <w:rsid w:val="00E14285"/>
    <w:rsid w:val="00E1464E"/>
    <w:rsid w:val="00E16DAE"/>
    <w:rsid w:val="00E17168"/>
    <w:rsid w:val="00E20F41"/>
    <w:rsid w:val="00E230F4"/>
    <w:rsid w:val="00E25859"/>
    <w:rsid w:val="00E25D03"/>
    <w:rsid w:val="00E25E04"/>
    <w:rsid w:val="00E3467B"/>
    <w:rsid w:val="00E35464"/>
    <w:rsid w:val="00E35981"/>
    <w:rsid w:val="00E41B80"/>
    <w:rsid w:val="00E45259"/>
    <w:rsid w:val="00E47C38"/>
    <w:rsid w:val="00E51A96"/>
    <w:rsid w:val="00E53A5B"/>
    <w:rsid w:val="00E53FA9"/>
    <w:rsid w:val="00E556EE"/>
    <w:rsid w:val="00E55C42"/>
    <w:rsid w:val="00E610DB"/>
    <w:rsid w:val="00E612DF"/>
    <w:rsid w:val="00E61CE6"/>
    <w:rsid w:val="00E63DF2"/>
    <w:rsid w:val="00E64237"/>
    <w:rsid w:val="00E64472"/>
    <w:rsid w:val="00E65E7C"/>
    <w:rsid w:val="00E711D4"/>
    <w:rsid w:val="00E725D5"/>
    <w:rsid w:val="00E73AE2"/>
    <w:rsid w:val="00E74D14"/>
    <w:rsid w:val="00E84164"/>
    <w:rsid w:val="00E90371"/>
    <w:rsid w:val="00E92E76"/>
    <w:rsid w:val="00E95037"/>
    <w:rsid w:val="00E958CE"/>
    <w:rsid w:val="00E97CA7"/>
    <w:rsid w:val="00EA0B49"/>
    <w:rsid w:val="00EA2F25"/>
    <w:rsid w:val="00EA7420"/>
    <w:rsid w:val="00EA7F44"/>
    <w:rsid w:val="00EB07C6"/>
    <w:rsid w:val="00EB3B3D"/>
    <w:rsid w:val="00EB5A0B"/>
    <w:rsid w:val="00EB65F9"/>
    <w:rsid w:val="00EC3BC0"/>
    <w:rsid w:val="00EC3F32"/>
    <w:rsid w:val="00ED0951"/>
    <w:rsid w:val="00ED3135"/>
    <w:rsid w:val="00ED41A7"/>
    <w:rsid w:val="00ED7A9F"/>
    <w:rsid w:val="00EE0B15"/>
    <w:rsid w:val="00EE1F95"/>
    <w:rsid w:val="00EE5486"/>
    <w:rsid w:val="00EE6950"/>
    <w:rsid w:val="00EF317F"/>
    <w:rsid w:val="00EF706A"/>
    <w:rsid w:val="00F028E6"/>
    <w:rsid w:val="00F02ED3"/>
    <w:rsid w:val="00F039DF"/>
    <w:rsid w:val="00F04695"/>
    <w:rsid w:val="00F13B06"/>
    <w:rsid w:val="00F17818"/>
    <w:rsid w:val="00F21514"/>
    <w:rsid w:val="00F270F4"/>
    <w:rsid w:val="00F27C6C"/>
    <w:rsid w:val="00F303F1"/>
    <w:rsid w:val="00F404B8"/>
    <w:rsid w:val="00F40F72"/>
    <w:rsid w:val="00F43925"/>
    <w:rsid w:val="00F45967"/>
    <w:rsid w:val="00F47402"/>
    <w:rsid w:val="00F47D2A"/>
    <w:rsid w:val="00F535C9"/>
    <w:rsid w:val="00F54F78"/>
    <w:rsid w:val="00F5687A"/>
    <w:rsid w:val="00F56AE9"/>
    <w:rsid w:val="00F57DEB"/>
    <w:rsid w:val="00F6193A"/>
    <w:rsid w:val="00F61C7E"/>
    <w:rsid w:val="00F62E89"/>
    <w:rsid w:val="00F63C90"/>
    <w:rsid w:val="00F6649E"/>
    <w:rsid w:val="00F73D7A"/>
    <w:rsid w:val="00F758E0"/>
    <w:rsid w:val="00F8178E"/>
    <w:rsid w:val="00F81ED0"/>
    <w:rsid w:val="00F868B7"/>
    <w:rsid w:val="00F87319"/>
    <w:rsid w:val="00F935E3"/>
    <w:rsid w:val="00F9373E"/>
    <w:rsid w:val="00F94E20"/>
    <w:rsid w:val="00F9550A"/>
    <w:rsid w:val="00F965F9"/>
    <w:rsid w:val="00FA18AC"/>
    <w:rsid w:val="00FA19DA"/>
    <w:rsid w:val="00FA1D98"/>
    <w:rsid w:val="00FA4769"/>
    <w:rsid w:val="00FA66C4"/>
    <w:rsid w:val="00FA6BA6"/>
    <w:rsid w:val="00FA6C5B"/>
    <w:rsid w:val="00FB19F9"/>
    <w:rsid w:val="00FB46BF"/>
    <w:rsid w:val="00FB5486"/>
    <w:rsid w:val="00FB555E"/>
    <w:rsid w:val="00FB5BD8"/>
    <w:rsid w:val="00FC0DF9"/>
    <w:rsid w:val="00FC2720"/>
    <w:rsid w:val="00FC2749"/>
    <w:rsid w:val="00FC63AD"/>
    <w:rsid w:val="00FC6A6D"/>
    <w:rsid w:val="00FD33F0"/>
    <w:rsid w:val="00FE0531"/>
    <w:rsid w:val="00FE4635"/>
    <w:rsid w:val="00FF05A3"/>
    <w:rsid w:val="00FF0DF6"/>
    <w:rsid w:val="00FF7FBA"/>
    <w:rsid w:val="01485328"/>
    <w:rsid w:val="02371209"/>
    <w:rsid w:val="029B95B5"/>
    <w:rsid w:val="02D91174"/>
    <w:rsid w:val="031DEA8D"/>
    <w:rsid w:val="03EE7273"/>
    <w:rsid w:val="049283A9"/>
    <w:rsid w:val="04B1A4E0"/>
    <w:rsid w:val="057C590A"/>
    <w:rsid w:val="05E7F431"/>
    <w:rsid w:val="06677E49"/>
    <w:rsid w:val="06F6F7BB"/>
    <w:rsid w:val="0700ADC3"/>
    <w:rsid w:val="072A3198"/>
    <w:rsid w:val="079E1126"/>
    <w:rsid w:val="07C562B1"/>
    <w:rsid w:val="08464C0C"/>
    <w:rsid w:val="0861E87C"/>
    <w:rsid w:val="094C725F"/>
    <w:rsid w:val="09E9BA92"/>
    <w:rsid w:val="0B2756EE"/>
    <w:rsid w:val="0B2900E2"/>
    <w:rsid w:val="0B4F4333"/>
    <w:rsid w:val="0B53F9D3"/>
    <w:rsid w:val="0BB50718"/>
    <w:rsid w:val="0BDE50BA"/>
    <w:rsid w:val="0BF37B48"/>
    <w:rsid w:val="0C623DDC"/>
    <w:rsid w:val="0C854450"/>
    <w:rsid w:val="0CCCF8CA"/>
    <w:rsid w:val="0D580CEF"/>
    <w:rsid w:val="0D8910B7"/>
    <w:rsid w:val="0DCC93EA"/>
    <w:rsid w:val="0E176389"/>
    <w:rsid w:val="0E713DE1"/>
    <w:rsid w:val="0E93BAC6"/>
    <w:rsid w:val="0F613EC8"/>
    <w:rsid w:val="100A5E23"/>
    <w:rsid w:val="105CF380"/>
    <w:rsid w:val="11CC4AFC"/>
    <w:rsid w:val="12C94B11"/>
    <w:rsid w:val="1355D2F1"/>
    <w:rsid w:val="136F6514"/>
    <w:rsid w:val="13ACFFE1"/>
    <w:rsid w:val="14134AA7"/>
    <w:rsid w:val="145EAFD8"/>
    <w:rsid w:val="1477489F"/>
    <w:rsid w:val="149A5418"/>
    <w:rsid w:val="15043B13"/>
    <w:rsid w:val="1508C90C"/>
    <w:rsid w:val="152B3DF9"/>
    <w:rsid w:val="154D9D64"/>
    <w:rsid w:val="1550D036"/>
    <w:rsid w:val="15684E27"/>
    <w:rsid w:val="1684FA5F"/>
    <w:rsid w:val="16F0CCD3"/>
    <w:rsid w:val="1766DB15"/>
    <w:rsid w:val="177743A3"/>
    <w:rsid w:val="17939AAC"/>
    <w:rsid w:val="17C3AB39"/>
    <w:rsid w:val="17F92621"/>
    <w:rsid w:val="189E4629"/>
    <w:rsid w:val="18D7F802"/>
    <w:rsid w:val="18E4ECC8"/>
    <w:rsid w:val="191948E9"/>
    <w:rsid w:val="191F82AB"/>
    <w:rsid w:val="19579280"/>
    <w:rsid w:val="19EA072A"/>
    <w:rsid w:val="19F8C393"/>
    <w:rsid w:val="1AD73575"/>
    <w:rsid w:val="1AE303D1"/>
    <w:rsid w:val="1B294E3D"/>
    <w:rsid w:val="1BCC7D83"/>
    <w:rsid w:val="1BCD6C90"/>
    <w:rsid w:val="1CDD810E"/>
    <w:rsid w:val="1E44AC77"/>
    <w:rsid w:val="1E5FE701"/>
    <w:rsid w:val="1F1CD335"/>
    <w:rsid w:val="1F4697F3"/>
    <w:rsid w:val="20B769AB"/>
    <w:rsid w:val="211EB582"/>
    <w:rsid w:val="21B39DDF"/>
    <w:rsid w:val="2204067C"/>
    <w:rsid w:val="220506DD"/>
    <w:rsid w:val="2240F0F5"/>
    <w:rsid w:val="232FAEE6"/>
    <w:rsid w:val="23B7BEA1"/>
    <w:rsid w:val="24038BF8"/>
    <w:rsid w:val="24D3EBC9"/>
    <w:rsid w:val="24F9E375"/>
    <w:rsid w:val="2540C9E2"/>
    <w:rsid w:val="2573F211"/>
    <w:rsid w:val="258840F9"/>
    <w:rsid w:val="25C15A64"/>
    <w:rsid w:val="25D97B4B"/>
    <w:rsid w:val="26EACA3B"/>
    <w:rsid w:val="27441658"/>
    <w:rsid w:val="2785CAF6"/>
    <w:rsid w:val="279B0B27"/>
    <w:rsid w:val="27C76102"/>
    <w:rsid w:val="27D6B01F"/>
    <w:rsid w:val="2953CDED"/>
    <w:rsid w:val="29C509BA"/>
    <w:rsid w:val="2A20AFC9"/>
    <w:rsid w:val="2A2C90B4"/>
    <w:rsid w:val="2A310734"/>
    <w:rsid w:val="2A35949F"/>
    <w:rsid w:val="2A911C2B"/>
    <w:rsid w:val="2AC3A208"/>
    <w:rsid w:val="2AD21C3B"/>
    <w:rsid w:val="2CBD558B"/>
    <w:rsid w:val="2CCF5695"/>
    <w:rsid w:val="2DC2ABA8"/>
    <w:rsid w:val="2E031F69"/>
    <w:rsid w:val="2E4379E2"/>
    <w:rsid w:val="2E46BCE1"/>
    <w:rsid w:val="2E48AFD5"/>
    <w:rsid w:val="2E63FC98"/>
    <w:rsid w:val="2F61656F"/>
    <w:rsid w:val="2F83AF7D"/>
    <w:rsid w:val="2FD4E90E"/>
    <w:rsid w:val="300DF1F5"/>
    <w:rsid w:val="304C6B29"/>
    <w:rsid w:val="3066BC8F"/>
    <w:rsid w:val="30909637"/>
    <w:rsid w:val="30BF08D2"/>
    <w:rsid w:val="31920486"/>
    <w:rsid w:val="32109612"/>
    <w:rsid w:val="32ADA5BD"/>
    <w:rsid w:val="32B3DA16"/>
    <w:rsid w:val="32C13822"/>
    <w:rsid w:val="331AD600"/>
    <w:rsid w:val="33BE24FD"/>
    <w:rsid w:val="33DB8CD6"/>
    <w:rsid w:val="345AFCD5"/>
    <w:rsid w:val="3577090E"/>
    <w:rsid w:val="35A8FC74"/>
    <w:rsid w:val="35FA264C"/>
    <w:rsid w:val="368DD843"/>
    <w:rsid w:val="36A7163B"/>
    <w:rsid w:val="37CA21B0"/>
    <w:rsid w:val="37D56421"/>
    <w:rsid w:val="386DEAC1"/>
    <w:rsid w:val="386DF10B"/>
    <w:rsid w:val="38AEB896"/>
    <w:rsid w:val="38B79350"/>
    <w:rsid w:val="38FF8555"/>
    <w:rsid w:val="3902F58E"/>
    <w:rsid w:val="39334285"/>
    <w:rsid w:val="39EBFFAC"/>
    <w:rsid w:val="3A7D8329"/>
    <w:rsid w:val="3B1A9516"/>
    <w:rsid w:val="3B329A94"/>
    <w:rsid w:val="3B459C70"/>
    <w:rsid w:val="3B91C169"/>
    <w:rsid w:val="3BA95136"/>
    <w:rsid w:val="3BAA0C6A"/>
    <w:rsid w:val="3BDFDFDF"/>
    <w:rsid w:val="3C1D01EB"/>
    <w:rsid w:val="3C377530"/>
    <w:rsid w:val="3C726321"/>
    <w:rsid w:val="3D23CB15"/>
    <w:rsid w:val="3D62FD82"/>
    <w:rsid w:val="3D63498A"/>
    <w:rsid w:val="3DBA8351"/>
    <w:rsid w:val="3DCCC3EE"/>
    <w:rsid w:val="3E6519E4"/>
    <w:rsid w:val="3ED7EED2"/>
    <w:rsid w:val="3F038C81"/>
    <w:rsid w:val="3F918766"/>
    <w:rsid w:val="3F9E7070"/>
    <w:rsid w:val="40308D71"/>
    <w:rsid w:val="405594FD"/>
    <w:rsid w:val="4093A934"/>
    <w:rsid w:val="4109DE51"/>
    <w:rsid w:val="411B76DC"/>
    <w:rsid w:val="4181B548"/>
    <w:rsid w:val="42A5581C"/>
    <w:rsid w:val="42D1FB7D"/>
    <w:rsid w:val="4349D34A"/>
    <w:rsid w:val="4366F7D6"/>
    <w:rsid w:val="436D7863"/>
    <w:rsid w:val="43EECB37"/>
    <w:rsid w:val="44299827"/>
    <w:rsid w:val="447C24B9"/>
    <w:rsid w:val="44BC578D"/>
    <w:rsid w:val="4576231D"/>
    <w:rsid w:val="45C740B4"/>
    <w:rsid w:val="45DDFE93"/>
    <w:rsid w:val="462D737E"/>
    <w:rsid w:val="46306AE8"/>
    <w:rsid w:val="4654A7AF"/>
    <w:rsid w:val="4669AE0A"/>
    <w:rsid w:val="468BC296"/>
    <w:rsid w:val="46CC29D2"/>
    <w:rsid w:val="47506C71"/>
    <w:rsid w:val="47C2DF8C"/>
    <w:rsid w:val="481FEDF7"/>
    <w:rsid w:val="48445544"/>
    <w:rsid w:val="48B172BE"/>
    <w:rsid w:val="48FE5E25"/>
    <w:rsid w:val="49081FC1"/>
    <w:rsid w:val="49C0C83D"/>
    <w:rsid w:val="49C21ED7"/>
    <w:rsid w:val="4A2A8780"/>
    <w:rsid w:val="4A3F66C8"/>
    <w:rsid w:val="4A8BA9B1"/>
    <w:rsid w:val="4A94F259"/>
    <w:rsid w:val="4AAF65A5"/>
    <w:rsid w:val="4B6707CB"/>
    <w:rsid w:val="4BC52E00"/>
    <w:rsid w:val="4BF32C43"/>
    <w:rsid w:val="4C2B9EFE"/>
    <w:rsid w:val="4CF5BD87"/>
    <w:rsid w:val="4DA51951"/>
    <w:rsid w:val="4E2C48AD"/>
    <w:rsid w:val="4E9A8CDF"/>
    <w:rsid w:val="4EA30FDE"/>
    <w:rsid w:val="4F2DA708"/>
    <w:rsid w:val="4F4D26E0"/>
    <w:rsid w:val="4FB97FFB"/>
    <w:rsid w:val="5067B099"/>
    <w:rsid w:val="509B2774"/>
    <w:rsid w:val="513C7A9E"/>
    <w:rsid w:val="51DD62CA"/>
    <w:rsid w:val="51F3AE15"/>
    <w:rsid w:val="525B73F7"/>
    <w:rsid w:val="531AC8F9"/>
    <w:rsid w:val="53B00154"/>
    <w:rsid w:val="53CA2D08"/>
    <w:rsid w:val="53FB8236"/>
    <w:rsid w:val="53FFB194"/>
    <w:rsid w:val="54305405"/>
    <w:rsid w:val="543E32F2"/>
    <w:rsid w:val="544513EA"/>
    <w:rsid w:val="54875B90"/>
    <w:rsid w:val="54BFFA7B"/>
    <w:rsid w:val="55C37AD3"/>
    <w:rsid w:val="56FA00A7"/>
    <w:rsid w:val="575DD6E9"/>
    <w:rsid w:val="57C6E1FB"/>
    <w:rsid w:val="592A74B2"/>
    <w:rsid w:val="59300238"/>
    <w:rsid w:val="59B7CF95"/>
    <w:rsid w:val="59E146D0"/>
    <w:rsid w:val="5A028B96"/>
    <w:rsid w:val="5A2D9A61"/>
    <w:rsid w:val="5A8168A5"/>
    <w:rsid w:val="5B1FBFD0"/>
    <w:rsid w:val="5B2E87E4"/>
    <w:rsid w:val="5BB1E8A8"/>
    <w:rsid w:val="5BE840F6"/>
    <w:rsid w:val="5C1345F2"/>
    <w:rsid w:val="5C50F0B4"/>
    <w:rsid w:val="5C8BAA6F"/>
    <w:rsid w:val="5D99BDA2"/>
    <w:rsid w:val="5F2ECBBC"/>
    <w:rsid w:val="5F98B95F"/>
    <w:rsid w:val="5FC1E50B"/>
    <w:rsid w:val="6028285C"/>
    <w:rsid w:val="608D801C"/>
    <w:rsid w:val="61012938"/>
    <w:rsid w:val="6137C6AB"/>
    <w:rsid w:val="61EE61BD"/>
    <w:rsid w:val="623FC266"/>
    <w:rsid w:val="63594818"/>
    <w:rsid w:val="635F0F2B"/>
    <w:rsid w:val="643BCB8F"/>
    <w:rsid w:val="65CEAEA9"/>
    <w:rsid w:val="6639D40E"/>
    <w:rsid w:val="6649E0DC"/>
    <w:rsid w:val="6656EBFD"/>
    <w:rsid w:val="6668A637"/>
    <w:rsid w:val="669F9873"/>
    <w:rsid w:val="67DC1545"/>
    <w:rsid w:val="67E838CA"/>
    <w:rsid w:val="69903229"/>
    <w:rsid w:val="69E5CD9D"/>
    <w:rsid w:val="6A381DB6"/>
    <w:rsid w:val="6ABFD0A7"/>
    <w:rsid w:val="6ACBA61A"/>
    <w:rsid w:val="6BA654CA"/>
    <w:rsid w:val="6BFFDFE4"/>
    <w:rsid w:val="6C03434E"/>
    <w:rsid w:val="6D2E7BE3"/>
    <w:rsid w:val="6D484AD6"/>
    <w:rsid w:val="6D4947D0"/>
    <w:rsid w:val="6D84CFBC"/>
    <w:rsid w:val="6EAC97D1"/>
    <w:rsid w:val="6EBDBA8D"/>
    <w:rsid w:val="6EDB035C"/>
    <w:rsid w:val="6EF01089"/>
    <w:rsid w:val="6F04A82A"/>
    <w:rsid w:val="6F34AA33"/>
    <w:rsid w:val="6FA062E0"/>
    <w:rsid w:val="704C05DD"/>
    <w:rsid w:val="709C3147"/>
    <w:rsid w:val="70B4079E"/>
    <w:rsid w:val="70CF48E7"/>
    <w:rsid w:val="7177309A"/>
    <w:rsid w:val="71A8D6B2"/>
    <w:rsid w:val="7203797D"/>
    <w:rsid w:val="7211B5B6"/>
    <w:rsid w:val="7289A072"/>
    <w:rsid w:val="72A80944"/>
    <w:rsid w:val="73001BF2"/>
    <w:rsid w:val="731F9B97"/>
    <w:rsid w:val="743B64F5"/>
    <w:rsid w:val="743E2DF5"/>
    <w:rsid w:val="743F48C3"/>
    <w:rsid w:val="7456683E"/>
    <w:rsid w:val="75A1E80D"/>
    <w:rsid w:val="761B38C2"/>
    <w:rsid w:val="7621A821"/>
    <w:rsid w:val="76260761"/>
    <w:rsid w:val="77A30A23"/>
    <w:rsid w:val="77B481D6"/>
    <w:rsid w:val="77CDAF97"/>
    <w:rsid w:val="77CE595A"/>
    <w:rsid w:val="7849087A"/>
    <w:rsid w:val="786AB77E"/>
    <w:rsid w:val="788A16BC"/>
    <w:rsid w:val="78FBC2E1"/>
    <w:rsid w:val="791688E1"/>
    <w:rsid w:val="792D3861"/>
    <w:rsid w:val="79686BDA"/>
    <w:rsid w:val="799487A4"/>
    <w:rsid w:val="79A62BC9"/>
    <w:rsid w:val="79E1093A"/>
    <w:rsid w:val="7AA19564"/>
    <w:rsid w:val="7ACFCD76"/>
    <w:rsid w:val="7D00321A"/>
    <w:rsid w:val="7DA19CEC"/>
    <w:rsid w:val="7DD562A0"/>
    <w:rsid w:val="7E2B8C1A"/>
    <w:rsid w:val="7EA63FE7"/>
    <w:rsid w:val="7F30CD97"/>
    <w:rsid w:val="7FA0DE4F"/>
    <w:rsid w:val="7FA96910"/>
    <w:rsid w:val="7FBACA65"/>
    <w:rsid w:val="7FF5EB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31AEF3FA"/>
  <w15:chartTrackingRefBased/>
  <w15:docId w15:val="{CEA0EFA8-EDC2-4362-98D7-8FE522B67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B46"/>
  </w:style>
  <w:style w:type="paragraph" w:styleId="Heading1">
    <w:name w:val="heading 1"/>
    <w:basedOn w:val="Normal"/>
    <w:next w:val="Normal"/>
    <w:link w:val="Heading1Char"/>
    <w:uiPriority w:val="9"/>
    <w:qFormat/>
    <w:rsid w:val="001D7B46"/>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unhideWhenUsed/>
    <w:qFormat/>
    <w:rsid w:val="001D7B46"/>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1D7B46"/>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unhideWhenUsed/>
    <w:qFormat/>
    <w:rsid w:val="001D7B46"/>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1D7B46"/>
    <w:pPr>
      <w:spacing w:before="280" w:after="0" w:line="360" w:lineRule="auto"/>
      <w:ind w:firstLine="0"/>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1D7B46"/>
    <w:pPr>
      <w:spacing w:before="280" w:after="80" w:line="360" w:lineRule="auto"/>
      <w:ind w:firstLine="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1D7B46"/>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1D7B46"/>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1D7B46"/>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7B46"/>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rsid w:val="001D7B46"/>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1D7B46"/>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rsid w:val="001D7B46"/>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1D7B46"/>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1D7B46"/>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1D7B46"/>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1D7B46"/>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1D7B46"/>
    <w:rPr>
      <w:rFonts w:asciiTheme="majorHAnsi" w:eastAsiaTheme="majorEastAsia" w:hAnsiTheme="majorHAnsi" w:cstheme="majorBidi"/>
      <w:i/>
      <w:iCs/>
      <w:sz w:val="18"/>
      <w:szCs w:val="18"/>
    </w:rPr>
  </w:style>
  <w:style w:type="paragraph" w:styleId="Title">
    <w:name w:val="Title"/>
    <w:basedOn w:val="Normal"/>
    <w:next w:val="Normal"/>
    <w:link w:val="TitleChar"/>
    <w:uiPriority w:val="10"/>
    <w:qFormat/>
    <w:rsid w:val="001D7B46"/>
    <w:pPr>
      <w:spacing w:line="240" w:lineRule="auto"/>
      <w:ind w:firstLine="0"/>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1D7B46"/>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1D7B46"/>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1D7B46"/>
    <w:rPr>
      <w:i/>
      <w:iCs/>
      <w:color w:val="808080" w:themeColor="text1" w:themeTint="7F"/>
      <w:spacing w:val="10"/>
      <w:sz w:val="24"/>
      <w:szCs w:val="24"/>
    </w:rPr>
  </w:style>
  <w:style w:type="paragraph" w:styleId="Quote">
    <w:name w:val="Quote"/>
    <w:basedOn w:val="Normal"/>
    <w:next w:val="Normal"/>
    <w:link w:val="QuoteChar"/>
    <w:uiPriority w:val="29"/>
    <w:qFormat/>
    <w:rsid w:val="001D7B46"/>
    <w:rPr>
      <w:color w:val="5A5A5A" w:themeColor="text1" w:themeTint="A5"/>
    </w:rPr>
  </w:style>
  <w:style w:type="character" w:customStyle="1" w:styleId="QuoteChar">
    <w:name w:val="Quote Char"/>
    <w:basedOn w:val="DefaultParagraphFont"/>
    <w:link w:val="Quote"/>
    <w:uiPriority w:val="29"/>
    <w:rsid w:val="001D7B46"/>
    <w:rPr>
      <w:color w:val="5A5A5A" w:themeColor="text1" w:themeTint="A5"/>
    </w:rPr>
  </w:style>
  <w:style w:type="paragraph" w:styleId="ListParagraph">
    <w:name w:val="List Paragraph"/>
    <w:basedOn w:val="Normal"/>
    <w:uiPriority w:val="34"/>
    <w:qFormat/>
    <w:rsid w:val="001D7B46"/>
    <w:pPr>
      <w:ind w:left="720"/>
      <w:contextualSpacing/>
    </w:pPr>
  </w:style>
  <w:style w:type="character" w:styleId="IntenseEmphasis">
    <w:name w:val="Intense Emphasis"/>
    <w:uiPriority w:val="21"/>
    <w:qFormat/>
    <w:rsid w:val="001D7B46"/>
    <w:rPr>
      <w:b/>
      <w:bCs/>
      <w:i/>
      <w:iCs/>
      <w:color w:val="auto"/>
      <w:u w:val="single"/>
    </w:rPr>
  </w:style>
  <w:style w:type="paragraph" w:styleId="IntenseQuote">
    <w:name w:val="Intense Quote"/>
    <w:basedOn w:val="Normal"/>
    <w:next w:val="Normal"/>
    <w:link w:val="IntenseQuoteChar"/>
    <w:uiPriority w:val="30"/>
    <w:qFormat/>
    <w:rsid w:val="001D7B46"/>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1D7B46"/>
    <w:rPr>
      <w:rFonts w:asciiTheme="majorHAnsi" w:eastAsiaTheme="majorEastAsia" w:hAnsiTheme="majorHAnsi" w:cstheme="majorBidi"/>
      <w:i/>
      <w:iCs/>
      <w:sz w:val="20"/>
      <w:szCs w:val="20"/>
    </w:rPr>
  </w:style>
  <w:style w:type="character" w:styleId="IntenseReference">
    <w:name w:val="Intense Reference"/>
    <w:uiPriority w:val="32"/>
    <w:qFormat/>
    <w:rsid w:val="001D7B46"/>
    <w:rPr>
      <w:b/>
      <w:bCs/>
      <w:smallCaps/>
      <w:color w:val="auto"/>
    </w:rPr>
  </w:style>
  <w:style w:type="paragraph" w:styleId="Revision">
    <w:name w:val="Revision"/>
    <w:hidden/>
    <w:uiPriority w:val="99"/>
    <w:semiHidden/>
    <w:rsid w:val="000A6B9C"/>
    <w:pPr>
      <w:spacing w:after="0" w:line="240" w:lineRule="auto"/>
    </w:pPr>
  </w:style>
  <w:style w:type="paragraph" w:styleId="NoSpacing">
    <w:name w:val="No Spacing"/>
    <w:basedOn w:val="Normal"/>
    <w:link w:val="NoSpacingChar"/>
    <w:uiPriority w:val="1"/>
    <w:qFormat/>
    <w:rsid w:val="001D7B46"/>
    <w:pPr>
      <w:spacing w:after="0" w:line="240" w:lineRule="auto"/>
      <w:ind w:firstLine="0"/>
    </w:pPr>
  </w:style>
  <w:style w:type="character" w:customStyle="1" w:styleId="NoSpacingChar">
    <w:name w:val="No Spacing Char"/>
    <w:basedOn w:val="DefaultParagraphFont"/>
    <w:link w:val="NoSpacing"/>
    <w:uiPriority w:val="1"/>
    <w:rsid w:val="008E585D"/>
  </w:style>
  <w:style w:type="paragraph" w:styleId="Caption">
    <w:name w:val="caption"/>
    <w:basedOn w:val="Normal"/>
    <w:next w:val="Normal"/>
    <w:uiPriority w:val="35"/>
    <w:semiHidden/>
    <w:unhideWhenUsed/>
    <w:qFormat/>
    <w:rsid w:val="001D7B46"/>
    <w:rPr>
      <w:b/>
      <w:bCs/>
      <w:sz w:val="18"/>
      <w:szCs w:val="18"/>
    </w:rPr>
  </w:style>
  <w:style w:type="character" w:styleId="Strong">
    <w:name w:val="Strong"/>
    <w:basedOn w:val="DefaultParagraphFont"/>
    <w:uiPriority w:val="22"/>
    <w:qFormat/>
    <w:rsid w:val="001D7B46"/>
    <w:rPr>
      <w:b/>
      <w:bCs/>
      <w:spacing w:val="0"/>
    </w:rPr>
  </w:style>
  <w:style w:type="character" w:styleId="Emphasis">
    <w:name w:val="Emphasis"/>
    <w:uiPriority w:val="20"/>
    <w:qFormat/>
    <w:rsid w:val="001D7B46"/>
    <w:rPr>
      <w:b/>
      <w:bCs/>
      <w:i/>
      <w:iCs/>
      <w:color w:val="auto"/>
    </w:rPr>
  </w:style>
  <w:style w:type="character" w:styleId="SubtleEmphasis">
    <w:name w:val="Subtle Emphasis"/>
    <w:uiPriority w:val="19"/>
    <w:qFormat/>
    <w:rsid w:val="001D7B46"/>
    <w:rPr>
      <w:i/>
      <w:iCs/>
      <w:color w:val="5A5A5A" w:themeColor="text1" w:themeTint="A5"/>
    </w:rPr>
  </w:style>
  <w:style w:type="character" w:styleId="SubtleReference">
    <w:name w:val="Subtle Reference"/>
    <w:uiPriority w:val="31"/>
    <w:qFormat/>
    <w:rsid w:val="001D7B46"/>
    <w:rPr>
      <w:smallCaps/>
    </w:rPr>
  </w:style>
  <w:style w:type="character" w:styleId="BookTitle">
    <w:name w:val="Book Title"/>
    <w:uiPriority w:val="33"/>
    <w:qFormat/>
    <w:rsid w:val="001D7B46"/>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1D7B46"/>
    <w:pPr>
      <w:outlineLvl w:val="9"/>
    </w:pPr>
  </w:style>
  <w:style w:type="character" w:styleId="Hyperlink">
    <w:name w:val="Hyperlink"/>
    <w:basedOn w:val="DefaultParagraphFont"/>
    <w:uiPriority w:val="99"/>
    <w:unhideWhenUsed/>
    <w:rsid w:val="009B0F39"/>
    <w:rPr>
      <w:color w:val="467886" w:themeColor="hyperlink"/>
      <w:u w:val="single"/>
    </w:rPr>
  </w:style>
  <w:style w:type="character" w:styleId="UnresolvedMention">
    <w:name w:val="Unresolved Mention"/>
    <w:basedOn w:val="DefaultParagraphFont"/>
    <w:uiPriority w:val="99"/>
    <w:semiHidden/>
    <w:unhideWhenUsed/>
    <w:rsid w:val="009B0F39"/>
    <w:rPr>
      <w:color w:val="605E5C"/>
      <w:shd w:val="clear" w:color="auto" w:fill="E1DFDD"/>
    </w:rPr>
  </w:style>
  <w:style w:type="character" w:styleId="CommentReference">
    <w:name w:val="annotation reference"/>
    <w:basedOn w:val="DefaultParagraphFont"/>
    <w:uiPriority w:val="99"/>
    <w:semiHidden/>
    <w:unhideWhenUsed/>
    <w:rsid w:val="00104947"/>
    <w:rPr>
      <w:sz w:val="16"/>
      <w:szCs w:val="16"/>
    </w:rPr>
  </w:style>
  <w:style w:type="paragraph" w:styleId="CommentText">
    <w:name w:val="annotation text"/>
    <w:basedOn w:val="Normal"/>
    <w:link w:val="CommentTextChar"/>
    <w:uiPriority w:val="99"/>
    <w:semiHidden/>
    <w:unhideWhenUsed/>
    <w:rsid w:val="00104947"/>
    <w:pPr>
      <w:spacing w:line="240" w:lineRule="auto"/>
    </w:pPr>
    <w:rPr>
      <w:sz w:val="20"/>
      <w:szCs w:val="20"/>
    </w:rPr>
  </w:style>
  <w:style w:type="character" w:customStyle="1" w:styleId="CommentTextChar">
    <w:name w:val="Comment Text Char"/>
    <w:basedOn w:val="DefaultParagraphFont"/>
    <w:link w:val="CommentText"/>
    <w:uiPriority w:val="99"/>
    <w:semiHidden/>
    <w:rsid w:val="00104947"/>
    <w:rPr>
      <w:sz w:val="20"/>
      <w:szCs w:val="20"/>
    </w:rPr>
  </w:style>
  <w:style w:type="paragraph" w:styleId="CommentSubject">
    <w:name w:val="annotation subject"/>
    <w:basedOn w:val="CommentText"/>
    <w:next w:val="CommentText"/>
    <w:link w:val="CommentSubjectChar"/>
    <w:uiPriority w:val="99"/>
    <w:semiHidden/>
    <w:unhideWhenUsed/>
    <w:rsid w:val="00104947"/>
    <w:rPr>
      <w:b/>
      <w:bCs/>
    </w:rPr>
  </w:style>
  <w:style w:type="character" w:customStyle="1" w:styleId="CommentSubjectChar">
    <w:name w:val="Comment Subject Char"/>
    <w:basedOn w:val="CommentTextChar"/>
    <w:link w:val="CommentSubject"/>
    <w:uiPriority w:val="99"/>
    <w:semiHidden/>
    <w:rsid w:val="00104947"/>
    <w:rPr>
      <w:b/>
      <w:bCs/>
      <w:sz w:val="20"/>
      <w:szCs w:val="20"/>
    </w:rPr>
  </w:style>
  <w:style w:type="character" w:styleId="PlaceholderText">
    <w:name w:val="Placeholder Text"/>
    <w:basedOn w:val="DefaultParagraphFont"/>
    <w:uiPriority w:val="99"/>
    <w:semiHidden/>
    <w:rsid w:val="0010494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image" Target="media/image7.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chart" Target="charts/chart2.xml"/><Relationship Id="rId10" Type="http://schemas.openxmlformats.org/officeDocument/2006/relationships/image" Target="media/image5.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image" Target="media/image9.jpg"/></Relationships>
</file>

<file path=word/charts/_rels/chart1.xml.rels><?xml version="1.0" encoding="UTF-8" standalone="yes"?>
<Relationships xmlns="http://schemas.openxmlformats.org/package/2006/relationships"><Relationship Id="rId3" Type="http://schemas.openxmlformats.org/officeDocument/2006/relationships/oleObject" Target="file:////Users/mathewhabovstak/Downloads/Coors%20Term%20Project%20Complet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mathewhabovstak/Downloads/Coors%20Term%20Project%20Complete.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Valuation Summary for Molson Coors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stacked"/>
        <c:varyColors val="0"/>
        <c:ser>
          <c:idx val="0"/>
          <c:order val="0"/>
          <c:spPr>
            <a:solidFill>
              <a:schemeClr val="accent1"/>
            </a:solidFill>
            <a:ln>
              <a:noFill/>
            </a:ln>
            <a:effectLst/>
          </c:spPr>
          <c:invertIfNegative val="0"/>
          <c:cat>
            <c:strRef>
              <c:f>'TAP Football Field'!$B$9:$B$13</c:f>
              <c:strCache>
                <c:ptCount val="5"/>
                <c:pt idx="0">
                  <c:v>Public comps EV/Sales range 1.9x-2.2x</c:v>
                </c:pt>
                <c:pt idx="1">
                  <c:v>Public comps Forward PEG range 8.5x-9.0x</c:v>
                </c:pt>
                <c:pt idx="2">
                  <c:v>DCF w/ perpetuity growth range 0.5%-4.0%</c:v>
                </c:pt>
                <c:pt idx="3">
                  <c:v>DCF w/ EBITDA exit multiple range 3.6x-11.6x</c:v>
                </c:pt>
                <c:pt idx="4">
                  <c:v>52 week high-low</c:v>
                </c:pt>
              </c:strCache>
            </c:strRef>
          </c:cat>
          <c:val>
            <c:numRef>
              <c:f>'TAP Football Field'!$C$9:$C$13</c:f>
              <c:numCache>
                <c:formatCode>General</c:formatCode>
                <c:ptCount val="5"/>
              </c:numCache>
            </c:numRef>
          </c:val>
          <c:extLst>
            <c:ext xmlns:c16="http://schemas.microsoft.com/office/drawing/2014/chart" uri="{C3380CC4-5D6E-409C-BE32-E72D297353CC}">
              <c16:uniqueId val="{00000000-6504-0049-BFA4-CAFC9EB9138C}"/>
            </c:ext>
          </c:extLst>
        </c:ser>
        <c:ser>
          <c:idx val="1"/>
          <c:order val="1"/>
          <c:spPr>
            <a:no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'TAP Football Field'!$B$9:$B$13</c:f>
              <c:strCache>
                <c:ptCount val="5"/>
                <c:pt idx="0">
                  <c:v>Public comps EV/Sales range 1.9x-2.2x</c:v>
                </c:pt>
                <c:pt idx="1">
                  <c:v>Public comps Forward PEG range 8.5x-9.0x</c:v>
                </c:pt>
                <c:pt idx="2">
                  <c:v>DCF w/ perpetuity growth range 0.5%-4.0%</c:v>
                </c:pt>
                <c:pt idx="3">
                  <c:v>DCF w/ EBITDA exit multiple range 3.6x-11.6x</c:v>
                </c:pt>
                <c:pt idx="4">
                  <c:v>52 week high-low</c:v>
                </c:pt>
              </c:strCache>
            </c:strRef>
          </c:cat>
          <c:val>
            <c:numRef>
              <c:f>'TAP Football Field'!$D$9:$D$13</c:f>
              <c:numCache>
                <c:formatCode>"$"#,##0.00_);\("$"#,##0.00\)</c:formatCode>
                <c:ptCount val="5"/>
                <c:pt idx="0">
                  <c:v>77.036370769459495</c:v>
                </c:pt>
                <c:pt idx="1">
                  <c:v>45.991160934452921</c:v>
                </c:pt>
                <c:pt idx="2">
                  <c:v>81.775834717401139</c:v>
                </c:pt>
                <c:pt idx="3" formatCode="&quot;$&quot;#,##0.00_);[Red]\(&quot;$&quot;#,##0.00\)">
                  <c:v>30.721423700960212</c:v>
                </c:pt>
                <c:pt idx="4">
                  <c:v>42.94</c:v>
                </c:pt>
              </c:numCache>
            </c:numRef>
          </c:val>
          <c:extLst>
            <c:ext xmlns:c16="http://schemas.microsoft.com/office/drawing/2014/chart" uri="{C3380CC4-5D6E-409C-BE32-E72D297353CC}">
              <c16:uniqueId val="{00000001-6504-0049-BFA4-CAFC9EB9138C}"/>
            </c:ext>
          </c:extLst>
        </c:ser>
        <c:ser>
          <c:idx val="2"/>
          <c:order val="2"/>
          <c:spPr>
            <a:solidFill>
              <a:srgbClr val="2AB4D4"/>
            </a:solidFill>
            <a:ln>
              <a:noFill/>
            </a:ln>
            <a:effectLst/>
          </c:spPr>
          <c:invertIfNegative val="0"/>
          <c:cat>
            <c:strRef>
              <c:f>'TAP Football Field'!$B$9:$B$13</c:f>
              <c:strCache>
                <c:ptCount val="5"/>
                <c:pt idx="0">
                  <c:v>Public comps EV/Sales range 1.9x-2.2x</c:v>
                </c:pt>
                <c:pt idx="1">
                  <c:v>Public comps Forward PEG range 8.5x-9.0x</c:v>
                </c:pt>
                <c:pt idx="2">
                  <c:v>DCF w/ perpetuity growth range 0.5%-4.0%</c:v>
                </c:pt>
                <c:pt idx="3">
                  <c:v>DCF w/ EBITDA exit multiple range 3.6x-11.6x</c:v>
                </c:pt>
                <c:pt idx="4">
                  <c:v>52 week high-low</c:v>
                </c:pt>
              </c:strCache>
            </c:strRef>
          </c:cat>
          <c:val>
            <c:numRef>
              <c:f>'TAP Football Field'!$E$9:$E$13</c:f>
              <c:numCache>
                <c:formatCode>#,##0.00_);\(#,##0.00\)</c:formatCode>
                <c:ptCount val="5"/>
                <c:pt idx="0">
                  <c:v>19.196695727920186</c:v>
                </c:pt>
                <c:pt idx="1">
                  <c:v>2.4480091584610904</c:v>
                </c:pt>
                <c:pt idx="2">
                  <c:v>124.52481353844492</c:v>
                </c:pt>
                <c:pt idx="3">
                  <c:v>73.362992701407848</c:v>
                </c:pt>
                <c:pt idx="4">
                  <c:v>21.72</c:v>
                </c:pt>
              </c:numCache>
            </c:numRef>
          </c:val>
          <c:extLst>
            <c:ext xmlns:c16="http://schemas.microsoft.com/office/drawing/2014/chart" uri="{C3380CC4-5D6E-409C-BE32-E72D297353CC}">
              <c16:uniqueId val="{00000002-6504-0049-BFA4-CAFC9EB9138C}"/>
            </c:ext>
          </c:extLst>
        </c:ser>
        <c:ser>
          <c:idx val="3"/>
          <c:order val="3"/>
          <c:spPr>
            <a:no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'TAP Football Field'!$B$9:$B$13</c:f>
              <c:strCache>
                <c:ptCount val="5"/>
                <c:pt idx="0">
                  <c:v>Public comps EV/Sales range 1.9x-2.2x</c:v>
                </c:pt>
                <c:pt idx="1">
                  <c:v>Public comps Forward PEG range 8.5x-9.0x</c:v>
                </c:pt>
                <c:pt idx="2">
                  <c:v>DCF w/ perpetuity growth range 0.5%-4.0%</c:v>
                </c:pt>
                <c:pt idx="3">
                  <c:v>DCF w/ EBITDA exit multiple range 3.6x-11.6x</c:v>
                </c:pt>
                <c:pt idx="4">
                  <c:v>52 week high-low</c:v>
                </c:pt>
              </c:strCache>
            </c:strRef>
          </c:cat>
          <c:val>
            <c:numRef>
              <c:f>'TAP Football Field'!$F$9:$F$13</c:f>
              <c:numCache>
                <c:formatCode>"$"#,##0.00_);\("$"#,##0.00\)</c:formatCode>
                <c:ptCount val="5"/>
                <c:pt idx="0">
                  <c:v>96.233066497379681</c:v>
                </c:pt>
                <c:pt idx="1">
                  <c:v>48.439170092914011</c:v>
                </c:pt>
                <c:pt idx="2">
                  <c:v>206.30064825584606</c:v>
                </c:pt>
                <c:pt idx="3">
                  <c:v>104.08441640236806</c:v>
                </c:pt>
                <c:pt idx="4">
                  <c:v>64.66</c:v>
                </c:pt>
              </c:numCache>
            </c:numRef>
          </c:val>
          <c:extLst>
            <c:ext xmlns:c16="http://schemas.microsoft.com/office/drawing/2014/chart" uri="{C3380CC4-5D6E-409C-BE32-E72D297353CC}">
              <c16:uniqueId val="{00000003-6504-0049-BFA4-CAFC9EB9138C}"/>
            </c:ext>
          </c:extLst>
        </c:ser>
        <c:dLbls>
          <c:showLegendKey val="0"/>
          <c:showVal val="0"/>
          <c:showCatName val="0"/>
          <c:showSerName val="0"/>
          <c:showPercent val="0"/>
          <c:showBubbleSize val="0"/>
        </c:dLbls>
        <c:gapWidth val="150"/>
        <c:overlap val="100"/>
        <c:axId val="1896342719"/>
        <c:axId val="1896344511"/>
      </c:barChart>
      <c:scatterChart>
        <c:scatterStyle val="smoothMarker"/>
        <c:varyColors val="0"/>
        <c:ser>
          <c:idx val="4"/>
          <c:order val="4"/>
          <c:spPr>
            <a:ln w="28575" cap="rnd">
              <a:solidFill>
                <a:srgbClr val="004AAD"/>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4-6504-0049-BFA4-CAFC9EB9138C}"/>
                </c:ext>
              </c:extLst>
            </c:dLbl>
            <c:dLbl>
              <c:idx val="1"/>
              <c:delete val="1"/>
              <c:extLst>
                <c:ext xmlns:c15="http://schemas.microsoft.com/office/drawing/2012/chart" uri="{CE6537A1-D6FC-4f65-9D91-7224C49458BB}"/>
                <c:ext xmlns:c16="http://schemas.microsoft.com/office/drawing/2014/chart" uri="{C3380CC4-5D6E-409C-BE32-E72D297353CC}">
                  <c16:uniqueId val="{00000005-6504-0049-BFA4-CAFC9EB9138C}"/>
                </c:ext>
              </c:extLst>
            </c:dLbl>
            <c:dLbl>
              <c:idx val="2"/>
              <c:delete val="1"/>
              <c:extLst>
                <c:ext xmlns:c15="http://schemas.microsoft.com/office/drawing/2012/chart" uri="{CE6537A1-D6FC-4f65-9D91-7224C49458BB}"/>
                <c:ext xmlns:c16="http://schemas.microsoft.com/office/drawing/2014/chart" uri="{C3380CC4-5D6E-409C-BE32-E72D297353CC}">
                  <c16:uniqueId val="{00000006-6504-0049-BFA4-CAFC9EB9138C}"/>
                </c:ext>
              </c:extLst>
            </c:dLbl>
            <c:dLbl>
              <c:idx val="3"/>
              <c:delete val="1"/>
              <c:extLst>
                <c:ext xmlns:c15="http://schemas.microsoft.com/office/drawing/2012/chart" uri="{CE6537A1-D6FC-4f65-9D91-7224C49458BB}"/>
                <c:ext xmlns:c16="http://schemas.microsoft.com/office/drawing/2014/chart" uri="{C3380CC4-5D6E-409C-BE32-E72D297353CC}">
                  <c16:uniqueId val="{00000007-6504-0049-BFA4-CAFC9EB9138C}"/>
                </c:ext>
              </c:extLst>
            </c:dLbl>
            <c:dLbl>
              <c:idx val="4"/>
              <c:layout>
                <c:manualLayout>
                  <c:x val="2.113053025832929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6504-0049-BFA4-CAFC9EB9138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strRef>
              <c:f>'TAP Football Field'!$B$9:$B$13</c:f>
              <c:strCache>
                <c:ptCount val="5"/>
                <c:pt idx="0">
                  <c:v>Public comps EV/Sales range 1.9x-2.2x</c:v>
                </c:pt>
                <c:pt idx="1">
                  <c:v>Public comps Forward PEG range 8.5x-9.0x</c:v>
                </c:pt>
                <c:pt idx="2">
                  <c:v>DCF w/ perpetuity growth range 0.5%-4.0%</c:v>
                </c:pt>
                <c:pt idx="3">
                  <c:v>DCF w/ EBITDA exit multiple range 3.6x-11.6x</c:v>
                </c:pt>
                <c:pt idx="4">
                  <c:v>52 week high-low</c:v>
                </c:pt>
              </c:strCache>
            </c:strRef>
          </c:xVal>
          <c:yVal>
            <c:numRef>
              <c:f>'TAP Football Field'!$K$9:$K$13</c:f>
              <c:numCache>
                <c:formatCode>"$"#,##0.00_);\("$"#,##0.00\)</c:formatCode>
                <c:ptCount val="5"/>
                <c:pt idx="0">
                  <c:v>45.13</c:v>
                </c:pt>
                <c:pt idx="1">
                  <c:v>45.13</c:v>
                </c:pt>
                <c:pt idx="2">
                  <c:v>45.13</c:v>
                </c:pt>
                <c:pt idx="3">
                  <c:v>45.13</c:v>
                </c:pt>
                <c:pt idx="4">
                  <c:v>45.13</c:v>
                </c:pt>
              </c:numCache>
            </c:numRef>
          </c:yVal>
          <c:smooth val="1"/>
          <c:extLst>
            <c:ext xmlns:c16="http://schemas.microsoft.com/office/drawing/2014/chart" uri="{C3380CC4-5D6E-409C-BE32-E72D297353CC}">
              <c16:uniqueId val="{00000009-6504-0049-BFA4-CAFC9EB9138C}"/>
            </c:ext>
          </c:extLst>
        </c:ser>
        <c:dLbls>
          <c:showLegendKey val="0"/>
          <c:showVal val="0"/>
          <c:showCatName val="0"/>
          <c:showSerName val="0"/>
          <c:showPercent val="0"/>
          <c:showBubbleSize val="0"/>
        </c:dLbls>
        <c:axId val="1878115199"/>
        <c:axId val="1858403199"/>
      </c:scatterChart>
      <c:catAx>
        <c:axId val="18963427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96344511"/>
        <c:crosses val="autoZero"/>
        <c:auto val="1"/>
        <c:lblAlgn val="ctr"/>
        <c:lblOffset val="100"/>
        <c:noMultiLvlLbl val="0"/>
      </c:catAx>
      <c:valAx>
        <c:axId val="1896344511"/>
        <c:scaling>
          <c:orientation val="minMax"/>
          <c:max val="250"/>
        </c:scaling>
        <c:delete val="0"/>
        <c:axPos val="l"/>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96342719"/>
        <c:crosses val="autoZero"/>
        <c:crossBetween val="between"/>
      </c:valAx>
      <c:valAx>
        <c:axId val="1858403199"/>
        <c:scaling>
          <c:orientation val="minMax"/>
        </c:scaling>
        <c:delete val="1"/>
        <c:axPos val="r"/>
        <c:numFmt formatCode="&quot;$&quot;#,##0.00_);\(&quot;$&quot;#,##0.00\)" sourceLinked="1"/>
        <c:majorTickMark val="out"/>
        <c:minorTickMark val="none"/>
        <c:tickLblPos val="nextTo"/>
        <c:crossAx val="1878115199"/>
        <c:crosses val="max"/>
        <c:crossBetween val="midCat"/>
      </c:valAx>
      <c:valAx>
        <c:axId val="1878115199"/>
        <c:scaling>
          <c:orientation val="minMax"/>
        </c:scaling>
        <c:delete val="1"/>
        <c:axPos val="t"/>
        <c:majorTickMark val="out"/>
        <c:minorTickMark val="none"/>
        <c:tickLblPos val="nextTo"/>
        <c:crossAx val="1858403199"/>
        <c:crosses val="max"/>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Valuation Summary for Molson Coors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stacked"/>
        <c:varyColors val="0"/>
        <c:ser>
          <c:idx val="0"/>
          <c:order val="0"/>
          <c:spPr>
            <a:solidFill>
              <a:schemeClr val="accent1"/>
            </a:solidFill>
            <a:ln>
              <a:noFill/>
            </a:ln>
            <a:effectLst/>
          </c:spPr>
          <c:invertIfNegative val="0"/>
          <c:cat>
            <c:strRef>
              <c:f>'TAP Football Field'!$B$9:$B$13</c:f>
              <c:strCache>
                <c:ptCount val="5"/>
                <c:pt idx="0">
                  <c:v>Public comps EV/Sales range 1.9x-2.2x</c:v>
                </c:pt>
                <c:pt idx="1">
                  <c:v>Public comps Forward PEG range 8.5x-9.0x</c:v>
                </c:pt>
                <c:pt idx="2">
                  <c:v>DCF w/ perpetuity growth range 0.5%-4.0%</c:v>
                </c:pt>
                <c:pt idx="3">
                  <c:v>DCF w/ EBITDA exit multiple range 3.6x-11.6x</c:v>
                </c:pt>
                <c:pt idx="4">
                  <c:v>52 week high-low</c:v>
                </c:pt>
              </c:strCache>
            </c:strRef>
          </c:cat>
          <c:val>
            <c:numRef>
              <c:f>'TAP Football Field'!$C$9:$C$13</c:f>
              <c:numCache>
                <c:formatCode>General</c:formatCode>
                <c:ptCount val="5"/>
              </c:numCache>
            </c:numRef>
          </c:val>
          <c:extLst>
            <c:ext xmlns:c16="http://schemas.microsoft.com/office/drawing/2014/chart" uri="{C3380CC4-5D6E-409C-BE32-E72D297353CC}">
              <c16:uniqueId val="{00000000-E1FE-B742-9C61-F205A54B0DD1}"/>
            </c:ext>
          </c:extLst>
        </c:ser>
        <c:ser>
          <c:idx val="1"/>
          <c:order val="1"/>
          <c:spPr>
            <a:no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'TAP Football Field'!$B$9:$B$13</c:f>
              <c:strCache>
                <c:ptCount val="5"/>
                <c:pt idx="0">
                  <c:v>Public comps EV/Sales range 1.9x-2.2x</c:v>
                </c:pt>
                <c:pt idx="1">
                  <c:v>Public comps Forward PEG range 8.5x-9.0x</c:v>
                </c:pt>
                <c:pt idx="2">
                  <c:v>DCF w/ perpetuity growth range 0.5%-4.0%</c:v>
                </c:pt>
                <c:pt idx="3">
                  <c:v>DCF w/ EBITDA exit multiple range 3.6x-11.6x</c:v>
                </c:pt>
                <c:pt idx="4">
                  <c:v>52 week high-low</c:v>
                </c:pt>
              </c:strCache>
            </c:strRef>
          </c:cat>
          <c:val>
            <c:numRef>
              <c:f>'TAP Football Field'!$D$9:$D$13</c:f>
              <c:numCache>
                <c:formatCode>"$"#,##0.00_);\("$"#,##0.00\)</c:formatCode>
                <c:ptCount val="5"/>
                <c:pt idx="0">
                  <c:v>77.036370769459495</c:v>
                </c:pt>
                <c:pt idx="1">
                  <c:v>45.991160934452921</c:v>
                </c:pt>
                <c:pt idx="2">
                  <c:v>81.775834717401139</c:v>
                </c:pt>
                <c:pt idx="3" formatCode="&quot;$&quot;#,##0.00_);[Red]\(&quot;$&quot;#,##0.00\)">
                  <c:v>30.721423700960212</c:v>
                </c:pt>
                <c:pt idx="4">
                  <c:v>42.94</c:v>
                </c:pt>
              </c:numCache>
            </c:numRef>
          </c:val>
          <c:extLst>
            <c:ext xmlns:c16="http://schemas.microsoft.com/office/drawing/2014/chart" uri="{C3380CC4-5D6E-409C-BE32-E72D297353CC}">
              <c16:uniqueId val="{00000001-E1FE-B742-9C61-F205A54B0DD1}"/>
            </c:ext>
          </c:extLst>
        </c:ser>
        <c:ser>
          <c:idx val="2"/>
          <c:order val="2"/>
          <c:spPr>
            <a:solidFill>
              <a:srgbClr val="2AB4D4"/>
            </a:solidFill>
            <a:ln>
              <a:noFill/>
            </a:ln>
            <a:effectLst/>
          </c:spPr>
          <c:invertIfNegative val="0"/>
          <c:cat>
            <c:strRef>
              <c:f>'TAP Football Field'!$B$9:$B$13</c:f>
              <c:strCache>
                <c:ptCount val="5"/>
                <c:pt idx="0">
                  <c:v>Public comps EV/Sales range 1.9x-2.2x</c:v>
                </c:pt>
                <c:pt idx="1">
                  <c:v>Public comps Forward PEG range 8.5x-9.0x</c:v>
                </c:pt>
                <c:pt idx="2">
                  <c:v>DCF w/ perpetuity growth range 0.5%-4.0%</c:v>
                </c:pt>
                <c:pt idx="3">
                  <c:v>DCF w/ EBITDA exit multiple range 3.6x-11.6x</c:v>
                </c:pt>
                <c:pt idx="4">
                  <c:v>52 week high-low</c:v>
                </c:pt>
              </c:strCache>
            </c:strRef>
          </c:cat>
          <c:val>
            <c:numRef>
              <c:f>'TAP Football Field'!$E$9:$E$13</c:f>
              <c:numCache>
                <c:formatCode>#,##0.00_);\(#,##0.00\)</c:formatCode>
                <c:ptCount val="5"/>
                <c:pt idx="0">
                  <c:v>19.196695727920186</c:v>
                </c:pt>
                <c:pt idx="1">
                  <c:v>2.4480091584610904</c:v>
                </c:pt>
                <c:pt idx="2">
                  <c:v>124.52481353844492</c:v>
                </c:pt>
                <c:pt idx="3">
                  <c:v>73.362992701407848</c:v>
                </c:pt>
                <c:pt idx="4">
                  <c:v>21.72</c:v>
                </c:pt>
              </c:numCache>
            </c:numRef>
          </c:val>
          <c:extLst>
            <c:ext xmlns:c16="http://schemas.microsoft.com/office/drawing/2014/chart" uri="{C3380CC4-5D6E-409C-BE32-E72D297353CC}">
              <c16:uniqueId val="{00000002-E1FE-B742-9C61-F205A54B0DD1}"/>
            </c:ext>
          </c:extLst>
        </c:ser>
        <c:ser>
          <c:idx val="3"/>
          <c:order val="3"/>
          <c:spPr>
            <a:no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'TAP Football Field'!$B$9:$B$13</c:f>
              <c:strCache>
                <c:ptCount val="5"/>
                <c:pt idx="0">
                  <c:v>Public comps EV/Sales range 1.9x-2.2x</c:v>
                </c:pt>
                <c:pt idx="1">
                  <c:v>Public comps Forward PEG range 8.5x-9.0x</c:v>
                </c:pt>
                <c:pt idx="2">
                  <c:v>DCF w/ perpetuity growth range 0.5%-4.0%</c:v>
                </c:pt>
                <c:pt idx="3">
                  <c:v>DCF w/ EBITDA exit multiple range 3.6x-11.6x</c:v>
                </c:pt>
                <c:pt idx="4">
                  <c:v>52 week high-low</c:v>
                </c:pt>
              </c:strCache>
            </c:strRef>
          </c:cat>
          <c:val>
            <c:numRef>
              <c:f>'TAP Football Field'!$F$9:$F$13</c:f>
              <c:numCache>
                <c:formatCode>"$"#,##0.00_);\("$"#,##0.00\)</c:formatCode>
                <c:ptCount val="5"/>
                <c:pt idx="0">
                  <c:v>96.233066497379681</c:v>
                </c:pt>
                <c:pt idx="1">
                  <c:v>48.439170092914011</c:v>
                </c:pt>
                <c:pt idx="2">
                  <c:v>206.30064825584606</c:v>
                </c:pt>
                <c:pt idx="3">
                  <c:v>104.08441640236806</c:v>
                </c:pt>
                <c:pt idx="4">
                  <c:v>64.66</c:v>
                </c:pt>
              </c:numCache>
            </c:numRef>
          </c:val>
          <c:extLst>
            <c:ext xmlns:c16="http://schemas.microsoft.com/office/drawing/2014/chart" uri="{C3380CC4-5D6E-409C-BE32-E72D297353CC}">
              <c16:uniqueId val="{00000003-E1FE-B742-9C61-F205A54B0DD1}"/>
            </c:ext>
          </c:extLst>
        </c:ser>
        <c:dLbls>
          <c:showLegendKey val="0"/>
          <c:showVal val="0"/>
          <c:showCatName val="0"/>
          <c:showSerName val="0"/>
          <c:showPercent val="0"/>
          <c:showBubbleSize val="0"/>
        </c:dLbls>
        <c:gapWidth val="150"/>
        <c:overlap val="100"/>
        <c:axId val="1896342719"/>
        <c:axId val="1896344511"/>
      </c:barChart>
      <c:scatterChart>
        <c:scatterStyle val="smoothMarker"/>
        <c:varyColors val="0"/>
        <c:ser>
          <c:idx val="4"/>
          <c:order val="4"/>
          <c:spPr>
            <a:ln w="28575" cap="rnd">
              <a:solidFill>
                <a:srgbClr val="004AAD"/>
              </a:solidFill>
              <a:prstDash val="dash"/>
              <a:round/>
            </a:ln>
            <a:effectLst/>
          </c:spPr>
          <c:marker>
            <c:symbol val="none"/>
          </c:marker>
          <c:dLbls>
            <c:dLbl>
              <c:idx val="0"/>
              <c:delete val="1"/>
              <c:extLst>
                <c:ext xmlns:c15="http://schemas.microsoft.com/office/drawing/2012/chart" uri="{CE6537A1-D6FC-4f65-9D91-7224C49458BB}"/>
                <c:ext xmlns:c16="http://schemas.microsoft.com/office/drawing/2014/chart" uri="{C3380CC4-5D6E-409C-BE32-E72D297353CC}">
                  <c16:uniqueId val="{00000004-E1FE-B742-9C61-F205A54B0DD1}"/>
                </c:ext>
              </c:extLst>
            </c:dLbl>
            <c:dLbl>
              <c:idx val="1"/>
              <c:delete val="1"/>
              <c:extLst>
                <c:ext xmlns:c15="http://schemas.microsoft.com/office/drawing/2012/chart" uri="{CE6537A1-D6FC-4f65-9D91-7224C49458BB}"/>
                <c:ext xmlns:c16="http://schemas.microsoft.com/office/drawing/2014/chart" uri="{C3380CC4-5D6E-409C-BE32-E72D297353CC}">
                  <c16:uniqueId val="{00000005-E1FE-B742-9C61-F205A54B0DD1}"/>
                </c:ext>
              </c:extLst>
            </c:dLbl>
            <c:dLbl>
              <c:idx val="2"/>
              <c:delete val="1"/>
              <c:extLst>
                <c:ext xmlns:c15="http://schemas.microsoft.com/office/drawing/2012/chart" uri="{CE6537A1-D6FC-4f65-9D91-7224C49458BB}"/>
                <c:ext xmlns:c16="http://schemas.microsoft.com/office/drawing/2014/chart" uri="{C3380CC4-5D6E-409C-BE32-E72D297353CC}">
                  <c16:uniqueId val="{00000006-E1FE-B742-9C61-F205A54B0DD1}"/>
                </c:ext>
              </c:extLst>
            </c:dLbl>
            <c:dLbl>
              <c:idx val="3"/>
              <c:delete val="1"/>
              <c:extLst>
                <c:ext xmlns:c15="http://schemas.microsoft.com/office/drawing/2012/chart" uri="{CE6537A1-D6FC-4f65-9D91-7224C49458BB}"/>
                <c:ext xmlns:c16="http://schemas.microsoft.com/office/drawing/2014/chart" uri="{C3380CC4-5D6E-409C-BE32-E72D297353CC}">
                  <c16:uniqueId val="{00000007-E1FE-B742-9C61-F205A54B0DD1}"/>
                </c:ext>
              </c:extLst>
            </c:dLbl>
            <c:dLbl>
              <c:idx val="4"/>
              <c:layout>
                <c:manualLayout>
                  <c:x val="2.113053025832929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1FE-B742-9C61-F205A54B0DD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strRef>
              <c:f>'TAP Football Field'!$B$9:$B$13</c:f>
              <c:strCache>
                <c:ptCount val="5"/>
                <c:pt idx="0">
                  <c:v>Public comps EV/Sales range 1.9x-2.2x</c:v>
                </c:pt>
                <c:pt idx="1">
                  <c:v>Public comps Forward PEG range 8.5x-9.0x</c:v>
                </c:pt>
                <c:pt idx="2">
                  <c:v>DCF w/ perpetuity growth range 0.5%-4.0%</c:v>
                </c:pt>
                <c:pt idx="3">
                  <c:v>DCF w/ EBITDA exit multiple range 3.6x-11.6x</c:v>
                </c:pt>
                <c:pt idx="4">
                  <c:v>52 week high-low</c:v>
                </c:pt>
              </c:strCache>
            </c:strRef>
          </c:xVal>
          <c:yVal>
            <c:numRef>
              <c:f>'TAP Football Field'!$K$9:$K$13</c:f>
              <c:numCache>
                <c:formatCode>"$"#,##0.00_);\("$"#,##0.00\)</c:formatCode>
                <c:ptCount val="5"/>
                <c:pt idx="0">
                  <c:v>45.13</c:v>
                </c:pt>
                <c:pt idx="1">
                  <c:v>45.13</c:v>
                </c:pt>
                <c:pt idx="2">
                  <c:v>45.13</c:v>
                </c:pt>
                <c:pt idx="3">
                  <c:v>45.13</c:v>
                </c:pt>
                <c:pt idx="4">
                  <c:v>45.13</c:v>
                </c:pt>
              </c:numCache>
            </c:numRef>
          </c:yVal>
          <c:smooth val="1"/>
          <c:extLst>
            <c:ext xmlns:c16="http://schemas.microsoft.com/office/drawing/2014/chart" uri="{C3380CC4-5D6E-409C-BE32-E72D297353CC}">
              <c16:uniqueId val="{00000009-E1FE-B742-9C61-F205A54B0DD1}"/>
            </c:ext>
          </c:extLst>
        </c:ser>
        <c:dLbls>
          <c:showLegendKey val="0"/>
          <c:showVal val="0"/>
          <c:showCatName val="0"/>
          <c:showSerName val="0"/>
          <c:showPercent val="0"/>
          <c:showBubbleSize val="0"/>
        </c:dLbls>
        <c:axId val="1878115199"/>
        <c:axId val="1858403199"/>
      </c:scatterChart>
      <c:catAx>
        <c:axId val="189634271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96344511"/>
        <c:crosses val="autoZero"/>
        <c:auto val="1"/>
        <c:lblAlgn val="ctr"/>
        <c:lblOffset val="100"/>
        <c:noMultiLvlLbl val="0"/>
      </c:catAx>
      <c:valAx>
        <c:axId val="1896344511"/>
        <c:scaling>
          <c:orientation val="minMax"/>
          <c:max val="250"/>
        </c:scaling>
        <c:delete val="0"/>
        <c:axPos val="l"/>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96342719"/>
        <c:crosses val="autoZero"/>
        <c:crossBetween val="between"/>
      </c:valAx>
      <c:valAx>
        <c:axId val="1858403199"/>
        <c:scaling>
          <c:orientation val="minMax"/>
        </c:scaling>
        <c:delete val="1"/>
        <c:axPos val="r"/>
        <c:numFmt formatCode="&quot;$&quot;#,##0.00_);\(&quot;$&quot;#,##0.00\)" sourceLinked="1"/>
        <c:majorTickMark val="out"/>
        <c:minorTickMark val="none"/>
        <c:tickLblPos val="nextTo"/>
        <c:crossAx val="1878115199"/>
        <c:crosses val="max"/>
        <c:crossBetween val="midCat"/>
      </c:valAx>
      <c:valAx>
        <c:axId val="1878115199"/>
        <c:scaling>
          <c:orientation val="minMax"/>
        </c:scaling>
        <c:delete val="1"/>
        <c:axPos val="t"/>
        <c:majorTickMark val="out"/>
        <c:minorTickMark val="none"/>
        <c:tickLblPos val="nextTo"/>
        <c:crossAx val="1858403199"/>
        <c:crosses val="max"/>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29</Pages>
  <Words>6165</Words>
  <Characters>35269</Characters>
  <Application>Microsoft Office Word</Application>
  <DocSecurity>0</DocSecurity>
  <Lines>518</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Habovstak, Mathew</dc:creator>
  <cp:keywords/>
  <dc:description/>
  <cp:lastModifiedBy>Tupy, George</cp:lastModifiedBy>
  <cp:revision>4</cp:revision>
  <dcterms:created xsi:type="dcterms:W3CDTF">2025-12-09T02:18:00Z</dcterms:created>
  <dcterms:modified xsi:type="dcterms:W3CDTF">2026-01-10T05:56:00Z</dcterms:modified>
</cp:coreProperties>
</file>