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6C7059" w14:textId="4B08E5E8" w:rsidR="00EE542B" w:rsidRPr="00736A93" w:rsidRDefault="00EE542B" w:rsidP="00736A93">
      <w:pPr>
        <w:spacing w:after="0" w:line="480" w:lineRule="auto"/>
        <w:rPr>
          <w:rFonts w:ascii="Times New Roman" w:hAnsi="Times New Roman" w:cs="Times New Roman"/>
        </w:rPr>
      </w:pPr>
      <w:r w:rsidRPr="00736A93">
        <w:rPr>
          <w:rFonts w:ascii="Times New Roman" w:hAnsi="Times New Roman" w:cs="Times New Roman"/>
        </w:rPr>
        <w:t>George Tupy</w:t>
      </w:r>
    </w:p>
    <w:p w14:paraId="51ADE873" w14:textId="172DDE52" w:rsidR="00EE542B" w:rsidRPr="00736A93" w:rsidRDefault="00EE542B" w:rsidP="00736A93">
      <w:pPr>
        <w:spacing w:after="0" w:line="480" w:lineRule="auto"/>
        <w:rPr>
          <w:rFonts w:ascii="Times New Roman" w:hAnsi="Times New Roman" w:cs="Times New Roman"/>
        </w:rPr>
      </w:pPr>
      <w:r w:rsidRPr="00736A93">
        <w:rPr>
          <w:rFonts w:ascii="Times New Roman" w:hAnsi="Times New Roman" w:cs="Times New Roman"/>
        </w:rPr>
        <w:t>May 4, 2025</w:t>
      </w:r>
    </w:p>
    <w:p w14:paraId="5E037272" w14:textId="3801B158" w:rsidR="00EE542B" w:rsidRPr="00736A93" w:rsidRDefault="00EE542B" w:rsidP="00736A93">
      <w:pPr>
        <w:spacing w:after="0" w:line="480" w:lineRule="auto"/>
        <w:rPr>
          <w:rFonts w:ascii="Times New Roman" w:hAnsi="Times New Roman" w:cs="Times New Roman"/>
        </w:rPr>
      </w:pPr>
      <w:r w:rsidRPr="00736A93">
        <w:rPr>
          <w:rFonts w:ascii="Times New Roman" w:hAnsi="Times New Roman" w:cs="Times New Roman"/>
        </w:rPr>
        <w:t>Contemporary Art, ARHS-4630-01</w:t>
      </w:r>
    </w:p>
    <w:p w14:paraId="14E783B1" w14:textId="2643F28F" w:rsidR="00EE542B" w:rsidRPr="00736A93" w:rsidRDefault="00EE542B" w:rsidP="00736A93">
      <w:pPr>
        <w:spacing w:after="0" w:line="480" w:lineRule="auto"/>
        <w:rPr>
          <w:rFonts w:ascii="Times New Roman" w:hAnsi="Times New Roman" w:cs="Times New Roman"/>
        </w:rPr>
      </w:pPr>
      <w:r w:rsidRPr="00736A93">
        <w:rPr>
          <w:rFonts w:ascii="Times New Roman" w:hAnsi="Times New Roman" w:cs="Times New Roman"/>
        </w:rPr>
        <w:t>Professor Damon Willick</w:t>
      </w:r>
    </w:p>
    <w:p w14:paraId="0D2E001F" w14:textId="40F19222" w:rsidR="00EE542B" w:rsidRPr="00736A93" w:rsidRDefault="00EE542B" w:rsidP="00736A93">
      <w:pPr>
        <w:spacing w:after="0" w:line="480" w:lineRule="auto"/>
        <w:jc w:val="center"/>
        <w:rPr>
          <w:rFonts w:ascii="Times New Roman" w:hAnsi="Times New Roman" w:cs="Times New Roman"/>
        </w:rPr>
      </w:pPr>
      <w:r w:rsidRPr="00736A93">
        <w:rPr>
          <w:rFonts w:ascii="Times New Roman" w:hAnsi="Times New Roman" w:cs="Times New Roman"/>
        </w:rPr>
        <w:t xml:space="preserve">Exhibition Research Paper: </w:t>
      </w:r>
      <w:r w:rsidRPr="00736A93">
        <w:rPr>
          <w:rFonts w:ascii="Times New Roman" w:hAnsi="Times New Roman" w:cs="Times New Roman"/>
          <w:i/>
          <w:iCs/>
        </w:rPr>
        <w:t>Burn, Baby, Burn (L'escalade)</w:t>
      </w:r>
      <w:r w:rsidRPr="00736A93">
        <w:rPr>
          <w:rFonts w:ascii="Times New Roman" w:hAnsi="Times New Roman" w:cs="Times New Roman"/>
        </w:rPr>
        <w:t xml:space="preserve"> </w:t>
      </w:r>
      <w:r w:rsidR="003C03EF">
        <w:rPr>
          <w:rFonts w:ascii="Times New Roman" w:hAnsi="Times New Roman" w:cs="Times New Roman"/>
        </w:rPr>
        <w:t>(</w:t>
      </w:r>
      <w:r w:rsidRPr="00736A93">
        <w:rPr>
          <w:rFonts w:ascii="Times New Roman" w:hAnsi="Times New Roman" w:cs="Times New Roman"/>
        </w:rPr>
        <w:t>1965-66</w:t>
      </w:r>
      <w:r w:rsidR="003C03EF">
        <w:rPr>
          <w:rFonts w:ascii="Times New Roman" w:hAnsi="Times New Roman" w:cs="Times New Roman"/>
        </w:rPr>
        <w:t>)</w:t>
      </w:r>
    </w:p>
    <w:p w14:paraId="44B3EB3A" w14:textId="04C4E3C5" w:rsidR="00163E67" w:rsidRPr="00736A93" w:rsidRDefault="00654652" w:rsidP="00736A93">
      <w:pPr>
        <w:spacing w:after="0" w:line="480" w:lineRule="auto"/>
        <w:ind w:firstLine="720"/>
        <w:rPr>
          <w:rFonts w:ascii="Times New Roman" w:hAnsi="Times New Roman" w:cs="Times New Roman"/>
        </w:rPr>
      </w:pPr>
      <w:r w:rsidRPr="00736A93">
        <w:rPr>
          <w:rFonts w:ascii="Times New Roman" w:hAnsi="Times New Roman" w:cs="Times New Roman"/>
        </w:rPr>
        <w:t xml:space="preserve">The Vietnam War was arguably the most controversial conflict in United States history, as it left the general population wondering why </w:t>
      </w:r>
      <w:r w:rsidR="00E82A03">
        <w:rPr>
          <w:rFonts w:ascii="Times New Roman" w:hAnsi="Times New Roman" w:cs="Times New Roman"/>
        </w:rPr>
        <w:t>men and resources were being sent to a foreign country that seemingly posed no threat to domestic soil.</w:t>
      </w:r>
      <w:r w:rsidR="009855F1">
        <w:rPr>
          <w:rFonts w:ascii="Times New Roman" w:hAnsi="Times New Roman" w:cs="Times New Roman"/>
        </w:rPr>
        <w:t xml:space="preserve"> </w:t>
      </w:r>
      <w:r w:rsidRPr="00736A93">
        <w:rPr>
          <w:rFonts w:ascii="Times New Roman" w:hAnsi="Times New Roman" w:cs="Times New Roman"/>
        </w:rPr>
        <w:t xml:space="preserve">Violent images of American soldiers dying on the battlefield were broadcasted daily, leaving gruesome imagery ingrained within the minds of the American people. Though Vietnam dominated the history books for the latter half of the 20th century, artist Roberto Matta aimed at memorializing a piece of history closer to </w:t>
      </w:r>
      <w:r w:rsidR="00BB0356">
        <w:rPr>
          <w:rFonts w:ascii="Times New Roman" w:hAnsi="Times New Roman" w:cs="Times New Roman"/>
        </w:rPr>
        <w:t xml:space="preserve">home </w:t>
      </w:r>
      <w:r w:rsidRPr="00736A93">
        <w:rPr>
          <w:rFonts w:ascii="Times New Roman" w:hAnsi="Times New Roman" w:cs="Times New Roman"/>
        </w:rPr>
        <w:t>through his depiction of the Watts Rebellion of 1965. This civil uprising was a result of when Lee Minikus, an LAPD officer, mistreated local Marquette Frye and his mother during a DUI arrest</w:t>
      </w:r>
      <w:r w:rsidR="00736A93">
        <w:rPr>
          <w:rFonts w:ascii="Times New Roman" w:hAnsi="Times New Roman" w:cs="Times New Roman"/>
        </w:rPr>
        <w:t>.</w:t>
      </w:r>
      <w:r w:rsidR="00736A93">
        <w:rPr>
          <w:rStyle w:val="FootnoteReference"/>
          <w:rFonts w:ascii="Times New Roman" w:hAnsi="Times New Roman" w:cs="Times New Roman"/>
        </w:rPr>
        <w:footnoteReference w:id="1"/>
      </w:r>
      <w:r w:rsidR="00736A93">
        <w:rPr>
          <w:rFonts w:ascii="Times New Roman" w:hAnsi="Times New Roman" w:cs="Times New Roman"/>
        </w:rPr>
        <w:t xml:space="preserve"> </w:t>
      </w:r>
      <w:r w:rsidRPr="00736A93">
        <w:rPr>
          <w:rFonts w:ascii="Times New Roman" w:hAnsi="Times New Roman" w:cs="Times New Roman"/>
        </w:rPr>
        <w:t xml:space="preserve">Following the altercation, riots and unrest erupted throughout South Los Angeles for six days, and at the time, was the worst </w:t>
      </w:r>
      <w:r w:rsidR="00BB0356">
        <w:rPr>
          <w:rFonts w:ascii="Times New Roman" w:hAnsi="Times New Roman" w:cs="Times New Roman"/>
        </w:rPr>
        <w:t>societal unrest</w:t>
      </w:r>
      <w:r w:rsidRPr="00736A93">
        <w:rPr>
          <w:rFonts w:ascii="Times New Roman" w:hAnsi="Times New Roman" w:cs="Times New Roman"/>
        </w:rPr>
        <w:t xml:space="preserve"> in modern American history.</w:t>
      </w:r>
      <w:r w:rsidR="00653CB5">
        <w:rPr>
          <w:rStyle w:val="FootnoteReference"/>
          <w:rFonts w:ascii="Times New Roman" w:hAnsi="Times New Roman" w:cs="Times New Roman"/>
        </w:rPr>
        <w:footnoteReference w:id="2"/>
      </w:r>
      <w:r w:rsidRPr="00736A93">
        <w:rPr>
          <w:rFonts w:ascii="Times New Roman" w:hAnsi="Times New Roman" w:cs="Times New Roman"/>
        </w:rPr>
        <w:t xml:space="preserve"> In 1965, Matta created </w:t>
      </w:r>
      <w:r w:rsidRPr="00736A93">
        <w:rPr>
          <w:rFonts w:ascii="Times New Roman" w:hAnsi="Times New Roman" w:cs="Times New Roman"/>
          <w:i/>
          <w:iCs/>
        </w:rPr>
        <w:t>Burn, Baby, Burn (Lescalade)</w:t>
      </w:r>
      <w:r w:rsidRPr="00736A93">
        <w:rPr>
          <w:rFonts w:ascii="Times New Roman" w:hAnsi="Times New Roman" w:cs="Times New Roman"/>
        </w:rPr>
        <w:t xml:space="preserve"> to give his audience a visual representation of the turbulent political and social climate that plagued the 60s.</w:t>
      </w:r>
      <w:r w:rsidR="00693F9C" w:rsidRPr="00736A93">
        <w:rPr>
          <w:rFonts w:ascii="Times New Roman" w:hAnsi="Times New Roman" w:cs="Times New Roman"/>
        </w:rPr>
        <w:t xml:space="preserve"> Initially employed by radio DJ Magnificent Montague to promote music, the rallying cry “Burn, Baby, Burn!” was embraced by protestors and became emblematic of Black resistance and urban </w:t>
      </w:r>
      <w:r w:rsidR="00E81B68" w:rsidRPr="00736A93">
        <w:rPr>
          <w:rFonts w:ascii="Times New Roman" w:hAnsi="Times New Roman" w:cs="Times New Roman"/>
        </w:rPr>
        <w:t>instability</w:t>
      </w:r>
      <w:r w:rsidR="00693F9C" w:rsidRPr="00736A93">
        <w:rPr>
          <w:rFonts w:ascii="Times New Roman" w:hAnsi="Times New Roman" w:cs="Times New Roman"/>
        </w:rPr>
        <w:t>.</w:t>
      </w:r>
      <w:r w:rsidR="00653CB5">
        <w:rPr>
          <w:rStyle w:val="FootnoteReference"/>
          <w:rFonts w:ascii="Times New Roman" w:hAnsi="Times New Roman" w:cs="Times New Roman"/>
        </w:rPr>
        <w:footnoteReference w:id="3"/>
      </w:r>
      <w:r w:rsidR="00693F9C" w:rsidRPr="00736A93">
        <w:rPr>
          <w:rFonts w:ascii="Times New Roman" w:hAnsi="Times New Roman" w:cs="Times New Roman"/>
        </w:rPr>
        <w:t xml:space="preserve"> </w:t>
      </w:r>
      <w:r w:rsidRPr="00736A93">
        <w:rPr>
          <w:rFonts w:ascii="Times New Roman" w:hAnsi="Times New Roman" w:cs="Times New Roman"/>
        </w:rPr>
        <w:t xml:space="preserve"> His large scale, 10ftx32ft oil </w:t>
      </w:r>
      <w:r w:rsidRPr="00736A93">
        <w:rPr>
          <w:rFonts w:ascii="Times New Roman" w:hAnsi="Times New Roman" w:cs="Times New Roman"/>
        </w:rPr>
        <w:lastRenderedPageBreak/>
        <w:t>on canvas aligned itself with the historical and cultural unrest of the time, and connects with the broader institutional critiques of Contemporary Art movements of the late 20th century.</w:t>
      </w:r>
    </w:p>
    <w:p w14:paraId="1B8D8912" w14:textId="16CFF17A" w:rsidR="008F04DC" w:rsidRPr="00736A93" w:rsidRDefault="001F52B8" w:rsidP="00736A93">
      <w:pPr>
        <w:spacing w:after="0" w:line="480" w:lineRule="auto"/>
        <w:rPr>
          <w:rFonts w:ascii="Times New Roman" w:hAnsi="Times New Roman" w:cs="Times New Roman"/>
        </w:rPr>
      </w:pPr>
      <w:r w:rsidRPr="00736A93">
        <w:rPr>
          <w:rFonts w:ascii="Times New Roman" w:hAnsi="Times New Roman" w:cs="Times New Roman"/>
        </w:rPr>
        <w:tab/>
      </w:r>
      <w:r w:rsidRPr="00736A93">
        <w:rPr>
          <w:rFonts w:ascii="Times New Roman" w:hAnsi="Times New Roman" w:cs="Times New Roman"/>
          <w:i/>
          <w:iCs/>
        </w:rPr>
        <w:t>Burn, Baby, Burn (Lescalade)</w:t>
      </w:r>
      <w:r w:rsidR="006E550B" w:rsidRPr="00736A93">
        <w:rPr>
          <w:rFonts w:ascii="Times New Roman" w:hAnsi="Times New Roman" w:cs="Times New Roman"/>
          <w:i/>
          <w:iCs/>
        </w:rPr>
        <w:t xml:space="preserve"> </w:t>
      </w:r>
      <w:r w:rsidR="006E550B" w:rsidRPr="00736A93">
        <w:rPr>
          <w:rFonts w:ascii="Times New Roman" w:hAnsi="Times New Roman" w:cs="Times New Roman"/>
        </w:rPr>
        <w:t xml:space="preserve">overwhelmed me as I turned the corner to face it head-on during my visit to LACMA. Standing in front of </w:t>
      </w:r>
      <w:r w:rsidR="00D858F6">
        <w:rPr>
          <w:rFonts w:ascii="Times New Roman" w:hAnsi="Times New Roman" w:cs="Times New Roman"/>
        </w:rPr>
        <w:t>the painting</w:t>
      </w:r>
      <w:r w:rsidR="006E550B" w:rsidRPr="00736A93">
        <w:rPr>
          <w:rFonts w:ascii="Times New Roman" w:hAnsi="Times New Roman" w:cs="Times New Roman"/>
        </w:rPr>
        <w:t xml:space="preserve">, the oil on </w:t>
      </w:r>
      <w:r w:rsidR="006E550B" w:rsidRPr="003C03EF">
        <w:rPr>
          <w:rFonts w:ascii="Times New Roman" w:hAnsi="Times New Roman" w:cs="Times New Roman"/>
        </w:rPr>
        <w:t>canvas</w:t>
      </w:r>
      <w:r w:rsidR="006E550B" w:rsidRPr="00736A93">
        <w:rPr>
          <w:rFonts w:ascii="Times New Roman" w:hAnsi="Times New Roman" w:cs="Times New Roman"/>
        </w:rPr>
        <w:t xml:space="preserve"> enveloped me as I tried to </w:t>
      </w:r>
      <w:r w:rsidR="00D858F6">
        <w:rPr>
          <w:rFonts w:ascii="Times New Roman" w:hAnsi="Times New Roman" w:cs="Times New Roman"/>
        </w:rPr>
        <w:t xml:space="preserve">comprehend </w:t>
      </w:r>
      <w:r w:rsidR="006E550B" w:rsidRPr="00736A93">
        <w:rPr>
          <w:rFonts w:ascii="Times New Roman" w:hAnsi="Times New Roman" w:cs="Times New Roman"/>
        </w:rPr>
        <w:t>the vibrant reds and greens that popped off the</w:t>
      </w:r>
      <w:r w:rsidR="00653CB5">
        <w:rPr>
          <w:rFonts w:ascii="Times New Roman" w:hAnsi="Times New Roman" w:cs="Times New Roman"/>
        </w:rPr>
        <w:t xml:space="preserve"> wall</w:t>
      </w:r>
      <w:r w:rsidR="006E550B" w:rsidRPr="00736A93">
        <w:rPr>
          <w:rFonts w:ascii="Times New Roman" w:hAnsi="Times New Roman" w:cs="Times New Roman"/>
        </w:rPr>
        <w:t xml:space="preserve"> amidst the ever-present </w:t>
      </w:r>
      <w:r w:rsidR="00E81B68" w:rsidRPr="00736A93">
        <w:rPr>
          <w:rFonts w:ascii="Times New Roman" w:hAnsi="Times New Roman" w:cs="Times New Roman"/>
        </w:rPr>
        <w:t>chaos</w:t>
      </w:r>
      <w:r w:rsidR="006E550B" w:rsidRPr="00736A93">
        <w:rPr>
          <w:rFonts w:ascii="Times New Roman" w:hAnsi="Times New Roman" w:cs="Times New Roman"/>
        </w:rPr>
        <w:t xml:space="preserve"> depicted. Central to the art that came out of the Watts Rebellion was Noah Purifoy and Judson Powell’s “66 Signs of Neon” collection, which featured</w:t>
      </w:r>
      <w:r w:rsidR="00653CB5">
        <w:rPr>
          <w:rFonts w:ascii="Times New Roman" w:hAnsi="Times New Roman" w:cs="Times New Roman"/>
        </w:rPr>
        <w:t xml:space="preserve"> Duchampian</w:t>
      </w:r>
      <w:r w:rsidR="00BB0356">
        <w:rPr>
          <w:rFonts w:ascii="Times New Roman" w:hAnsi="Times New Roman" w:cs="Times New Roman"/>
        </w:rPr>
        <w:t xml:space="preserve"> </w:t>
      </w:r>
      <w:r w:rsidR="006E550B" w:rsidRPr="00736A93">
        <w:rPr>
          <w:rFonts w:ascii="Times New Roman" w:hAnsi="Times New Roman" w:cs="Times New Roman"/>
        </w:rPr>
        <w:t xml:space="preserve">readymade charred remnants of life before the uprising. </w:t>
      </w:r>
      <w:r w:rsidR="00096E62" w:rsidRPr="00736A93">
        <w:rPr>
          <w:rFonts w:ascii="Times New Roman" w:hAnsi="Times New Roman" w:cs="Times New Roman"/>
        </w:rPr>
        <w:t>These readymades served as “an expression of the necessity for art education, affirming the importance of this avenue of self-expression to individuals in the community of Watts.”</w:t>
      </w:r>
      <w:r w:rsidR="00653CB5">
        <w:rPr>
          <w:rStyle w:val="FootnoteReference"/>
          <w:rFonts w:ascii="Times New Roman" w:hAnsi="Times New Roman" w:cs="Times New Roman"/>
        </w:rPr>
        <w:footnoteReference w:id="4"/>
      </w:r>
      <w:r w:rsidR="00096E62" w:rsidRPr="00736A93">
        <w:rPr>
          <w:rFonts w:ascii="Times New Roman" w:hAnsi="Times New Roman" w:cs="Times New Roman"/>
        </w:rPr>
        <w:t xml:space="preserve"> Matta took these burned materials and incorporated them into his work, </w:t>
      </w:r>
      <w:r w:rsidR="00BB0356">
        <w:rPr>
          <w:rFonts w:ascii="Times New Roman" w:hAnsi="Times New Roman" w:cs="Times New Roman"/>
        </w:rPr>
        <w:t xml:space="preserve">underscoring </w:t>
      </w:r>
      <w:r w:rsidR="008F04DC" w:rsidRPr="00736A93">
        <w:rPr>
          <w:rFonts w:ascii="Times New Roman" w:hAnsi="Times New Roman" w:cs="Times New Roman"/>
        </w:rPr>
        <w:t>the significance of the destruction that came of the conflict. Additionally, he takes the viewer through an emotional progression when their</w:t>
      </w:r>
      <w:r w:rsidR="00BB0356">
        <w:rPr>
          <w:rFonts w:ascii="Times New Roman" w:hAnsi="Times New Roman" w:cs="Times New Roman"/>
        </w:rPr>
        <w:t xml:space="preserve"> gaze moves </w:t>
      </w:r>
      <w:r w:rsidR="008F04DC" w:rsidRPr="00736A93">
        <w:rPr>
          <w:rFonts w:ascii="Times New Roman" w:hAnsi="Times New Roman" w:cs="Times New Roman"/>
        </w:rPr>
        <w:t>from left to right. When I looked on the furthermost lefthand side of the canvas, I observed vivid red coloring with plumes of black and white smoke that permeated between the rubble. As I redirected my fixation across the canvas, I found that the righthand side housed the paradigm of a peaceful reality with soft green and yellow rays that were absent from turmoil.</w:t>
      </w:r>
      <w:r w:rsidR="003C03EF">
        <w:rPr>
          <w:rStyle w:val="FootnoteReference"/>
          <w:rFonts w:ascii="Times New Roman" w:hAnsi="Times New Roman" w:cs="Times New Roman"/>
        </w:rPr>
        <w:footnoteReference w:id="5"/>
      </w:r>
      <w:r w:rsidR="008F04DC" w:rsidRPr="00736A93">
        <w:rPr>
          <w:rFonts w:ascii="Times New Roman" w:hAnsi="Times New Roman" w:cs="Times New Roman"/>
        </w:rPr>
        <w:t xml:space="preserve"> </w:t>
      </w:r>
      <w:r w:rsidR="00BB0356">
        <w:rPr>
          <w:rFonts w:ascii="Times New Roman" w:hAnsi="Times New Roman" w:cs="Times New Roman"/>
        </w:rPr>
        <w:t xml:space="preserve">Matta added this key element of his piece because his audience longed for a time free from destruction and injustice. </w:t>
      </w:r>
      <w:r w:rsidR="008F04DC" w:rsidRPr="00736A93">
        <w:rPr>
          <w:rFonts w:ascii="Times New Roman" w:hAnsi="Times New Roman" w:cs="Times New Roman"/>
        </w:rPr>
        <w:t xml:space="preserve">Therefore, the visual experience of </w:t>
      </w:r>
      <w:r w:rsidR="008F04DC" w:rsidRPr="00736A93">
        <w:rPr>
          <w:rFonts w:ascii="Times New Roman" w:hAnsi="Times New Roman" w:cs="Times New Roman"/>
          <w:i/>
          <w:iCs/>
        </w:rPr>
        <w:t xml:space="preserve">Burn, Baby, Burn (Lescalade) </w:t>
      </w:r>
      <w:r w:rsidR="008F04DC" w:rsidRPr="00736A93">
        <w:rPr>
          <w:rFonts w:ascii="Times New Roman" w:hAnsi="Times New Roman" w:cs="Times New Roman"/>
        </w:rPr>
        <w:t xml:space="preserve">is one that moves from the Watts Rebellion to the hope of a brighter, tranquil future. </w:t>
      </w:r>
    </w:p>
    <w:p w14:paraId="17FD5ABC" w14:textId="4ED98982" w:rsidR="00654652" w:rsidRPr="00736A93" w:rsidRDefault="00654652" w:rsidP="00736A93">
      <w:pPr>
        <w:spacing w:after="0" w:line="480" w:lineRule="auto"/>
        <w:rPr>
          <w:rFonts w:ascii="Times New Roman" w:hAnsi="Times New Roman" w:cs="Times New Roman"/>
        </w:rPr>
      </w:pPr>
      <w:r w:rsidRPr="00736A93">
        <w:rPr>
          <w:rFonts w:ascii="Times New Roman" w:hAnsi="Times New Roman" w:cs="Times New Roman"/>
        </w:rPr>
        <w:tab/>
        <w:t xml:space="preserve">The life and work of Roberto Matta relates to several </w:t>
      </w:r>
      <w:r w:rsidR="00C07CC0" w:rsidRPr="00736A93">
        <w:rPr>
          <w:rFonts w:ascii="Times New Roman" w:hAnsi="Times New Roman" w:cs="Times New Roman"/>
        </w:rPr>
        <w:t xml:space="preserve">specific art and readings that have been discussed throughout class lecture. Primarily, Matta takes his viewer not only through an aesthetic journey across his canvases, but also a psychological one. He draws on Freudian </w:t>
      </w:r>
      <w:r w:rsidR="00C07CC0" w:rsidRPr="00736A93">
        <w:rPr>
          <w:rFonts w:ascii="Times New Roman" w:hAnsi="Times New Roman" w:cs="Times New Roman"/>
        </w:rPr>
        <w:lastRenderedPageBreak/>
        <w:t>psychoanalysis in his work as an attempt to turn the human brain inside out, which he coined as “inscape.”</w:t>
      </w:r>
      <w:r w:rsidR="003C03EF">
        <w:rPr>
          <w:rStyle w:val="FootnoteReference"/>
          <w:rFonts w:ascii="Times New Roman" w:hAnsi="Times New Roman" w:cs="Times New Roman"/>
        </w:rPr>
        <w:footnoteReference w:id="6"/>
      </w:r>
      <w:r w:rsidR="00C07CC0" w:rsidRPr="00736A93">
        <w:rPr>
          <w:rFonts w:ascii="Times New Roman" w:hAnsi="Times New Roman" w:cs="Times New Roman"/>
        </w:rPr>
        <w:t xml:space="preserve"> Moreover, as seen in </w:t>
      </w:r>
      <w:r w:rsidR="00C07CC0" w:rsidRPr="00736A93">
        <w:rPr>
          <w:rFonts w:ascii="Times New Roman" w:hAnsi="Times New Roman" w:cs="Times New Roman"/>
          <w:i/>
          <w:iCs/>
        </w:rPr>
        <w:t xml:space="preserve">Burn, Baby, Burn (Lescalade), </w:t>
      </w:r>
      <w:r w:rsidR="00C07CC0" w:rsidRPr="00736A93">
        <w:rPr>
          <w:rFonts w:ascii="Times New Roman" w:hAnsi="Times New Roman" w:cs="Times New Roman"/>
        </w:rPr>
        <w:t xml:space="preserve">Matta expresses a conflict between forces in his works, </w:t>
      </w:r>
      <w:r w:rsidR="00EF79AC" w:rsidRPr="00736A93">
        <w:rPr>
          <w:rFonts w:ascii="Times New Roman" w:hAnsi="Times New Roman" w:cs="Times New Roman"/>
        </w:rPr>
        <w:t xml:space="preserve">which is a continuation of Freud’s theory that humans are </w:t>
      </w:r>
      <w:r w:rsidR="00233960" w:rsidRPr="00736A93">
        <w:rPr>
          <w:rFonts w:ascii="Times New Roman" w:hAnsi="Times New Roman" w:cs="Times New Roman"/>
        </w:rPr>
        <w:t>perpetually</w:t>
      </w:r>
      <w:r w:rsidR="00EF79AC" w:rsidRPr="00736A93">
        <w:rPr>
          <w:rFonts w:ascii="Times New Roman" w:hAnsi="Times New Roman" w:cs="Times New Roman"/>
        </w:rPr>
        <w:t xml:space="preserve"> balancing their psychic struggles with violent impulses.</w:t>
      </w:r>
      <w:r w:rsidR="003C03EF">
        <w:rPr>
          <w:rStyle w:val="FootnoteReference"/>
          <w:rFonts w:ascii="Times New Roman" w:hAnsi="Times New Roman" w:cs="Times New Roman"/>
        </w:rPr>
        <w:footnoteReference w:id="7"/>
      </w:r>
      <w:r w:rsidR="00EF79AC" w:rsidRPr="00736A93">
        <w:rPr>
          <w:rFonts w:ascii="Times New Roman" w:hAnsi="Times New Roman" w:cs="Times New Roman"/>
        </w:rPr>
        <w:t xml:space="preserve"> As discussed in class lecture, contemporary artist Mary Kelly adopts Freudian psychoanalysis in her </w:t>
      </w:r>
      <w:r w:rsidR="00EF79AC" w:rsidRPr="00736A93">
        <w:rPr>
          <w:rFonts w:ascii="Times New Roman" w:hAnsi="Times New Roman" w:cs="Times New Roman"/>
          <w:i/>
          <w:iCs/>
        </w:rPr>
        <w:t xml:space="preserve">Post Partum Document </w:t>
      </w:r>
      <w:r w:rsidR="00C94816" w:rsidRPr="00736A93">
        <w:rPr>
          <w:rFonts w:ascii="Times New Roman" w:hAnsi="Times New Roman" w:cs="Times New Roman"/>
        </w:rPr>
        <w:t>(</w:t>
      </w:r>
      <w:r w:rsidR="00EF79AC" w:rsidRPr="00736A93">
        <w:rPr>
          <w:rFonts w:ascii="Times New Roman" w:hAnsi="Times New Roman" w:cs="Times New Roman"/>
        </w:rPr>
        <w:t>1973-79</w:t>
      </w:r>
      <w:r w:rsidR="00C94816" w:rsidRPr="00736A93">
        <w:rPr>
          <w:rFonts w:ascii="Times New Roman" w:hAnsi="Times New Roman" w:cs="Times New Roman"/>
        </w:rPr>
        <w:t>)</w:t>
      </w:r>
      <w:r w:rsidR="00EF79AC" w:rsidRPr="00736A93">
        <w:rPr>
          <w:rFonts w:ascii="Times New Roman" w:hAnsi="Times New Roman" w:cs="Times New Roman"/>
        </w:rPr>
        <w:t xml:space="preserve"> when she draws upon the subconscious in her observations about the realities of raising her son.</w:t>
      </w:r>
      <w:r w:rsidR="00DA18D6">
        <w:rPr>
          <w:rStyle w:val="FootnoteReference"/>
          <w:rFonts w:ascii="Times New Roman" w:hAnsi="Times New Roman" w:cs="Times New Roman"/>
        </w:rPr>
        <w:footnoteReference w:id="8"/>
      </w:r>
      <w:r w:rsidR="00EF79AC" w:rsidRPr="00736A93">
        <w:rPr>
          <w:rFonts w:ascii="Times New Roman" w:hAnsi="Times New Roman" w:cs="Times New Roman"/>
        </w:rPr>
        <w:t xml:space="preserve"> In addition to the parallel between Matta and Kelly’s inner psyche, </w:t>
      </w:r>
      <w:r w:rsidR="00EF79AC" w:rsidRPr="00736A93">
        <w:rPr>
          <w:rFonts w:ascii="Times New Roman" w:hAnsi="Times New Roman" w:cs="Times New Roman"/>
          <w:i/>
          <w:iCs/>
        </w:rPr>
        <w:t xml:space="preserve">Burn, Baby, Burn (Lescalade) </w:t>
      </w:r>
      <w:r w:rsidR="00EF79AC" w:rsidRPr="00736A93">
        <w:rPr>
          <w:rFonts w:ascii="Times New Roman" w:hAnsi="Times New Roman" w:cs="Times New Roman"/>
        </w:rPr>
        <w:t xml:space="preserve">presents elements of institutional critique that have been portrayed over the course of the 1970s. The genesis of Matta’s </w:t>
      </w:r>
      <w:r w:rsidR="00A55ED4">
        <w:rPr>
          <w:rFonts w:ascii="Times New Roman" w:hAnsi="Times New Roman" w:cs="Times New Roman"/>
        </w:rPr>
        <w:t>pieces</w:t>
      </w:r>
      <w:r w:rsidR="00EF79AC" w:rsidRPr="00736A93">
        <w:rPr>
          <w:rFonts w:ascii="Times New Roman" w:hAnsi="Times New Roman" w:cs="Times New Roman"/>
        </w:rPr>
        <w:t xml:space="preserve"> are the Vietnam War perceptions and the Watts Rebellion </w:t>
      </w:r>
      <w:r w:rsidR="008B3976" w:rsidRPr="00736A93">
        <w:rPr>
          <w:rFonts w:ascii="Times New Roman" w:hAnsi="Times New Roman" w:cs="Times New Roman"/>
        </w:rPr>
        <w:t xml:space="preserve">aftermath, and how these two crises exposed the systemic racism </w:t>
      </w:r>
      <w:r w:rsidR="00514B81" w:rsidRPr="00736A93">
        <w:rPr>
          <w:rFonts w:ascii="Times New Roman" w:hAnsi="Times New Roman" w:cs="Times New Roman"/>
        </w:rPr>
        <w:t xml:space="preserve">and injustice that permeated in modern society. </w:t>
      </w:r>
      <w:r w:rsidR="008B3976" w:rsidRPr="00736A93">
        <w:rPr>
          <w:rFonts w:ascii="Times New Roman" w:hAnsi="Times New Roman" w:cs="Times New Roman"/>
        </w:rPr>
        <w:t>Hans Haacke, German-born artist based out of</w:t>
      </w:r>
      <w:r w:rsidR="00514B81" w:rsidRPr="00736A93">
        <w:rPr>
          <w:rFonts w:ascii="Times New Roman" w:hAnsi="Times New Roman" w:cs="Times New Roman"/>
        </w:rPr>
        <w:t xml:space="preserve"> New York City, dedicated his life’s work to examine the intersection between art and politics, specifically how all art is inherently political.</w:t>
      </w:r>
      <w:r w:rsidR="00DA18D6">
        <w:rPr>
          <w:rStyle w:val="FootnoteReference"/>
          <w:rFonts w:ascii="Times New Roman" w:hAnsi="Times New Roman" w:cs="Times New Roman"/>
        </w:rPr>
        <w:footnoteReference w:id="9"/>
      </w:r>
      <w:r w:rsidR="00DA18D6">
        <w:rPr>
          <w:rFonts w:ascii="Times New Roman" w:hAnsi="Times New Roman" w:cs="Times New Roman"/>
        </w:rPr>
        <w:t xml:space="preserve"> </w:t>
      </w:r>
      <w:r w:rsidR="00514B81" w:rsidRPr="00736A93">
        <w:rPr>
          <w:rFonts w:ascii="Times New Roman" w:hAnsi="Times New Roman" w:cs="Times New Roman"/>
        </w:rPr>
        <w:t xml:space="preserve">Haacke’s conceptual work </w:t>
      </w:r>
      <w:r w:rsidR="00514B81" w:rsidRPr="00736A93">
        <w:rPr>
          <w:rFonts w:ascii="Times New Roman" w:hAnsi="Times New Roman" w:cs="Times New Roman"/>
          <w:i/>
          <w:iCs/>
        </w:rPr>
        <w:t xml:space="preserve">News </w:t>
      </w:r>
      <w:r w:rsidR="00C94816" w:rsidRPr="00736A93">
        <w:rPr>
          <w:rFonts w:ascii="Times New Roman" w:hAnsi="Times New Roman" w:cs="Times New Roman"/>
        </w:rPr>
        <w:t>(</w:t>
      </w:r>
      <w:r w:rsidR="00514B81" w:rsidRPr="00736A93">
        <w:rPr>
          <w:rFonts w:ascii="Times New Roman" w:hAnsi="Times New Roman" w:cs="Times New Roman"/>
        </w:rPr>
        <w:t>1969-70</w:t>
      </w:r>
      <w:r w:rsidR="00C94816" w:rsidRPr="00736A93">
        <w:rPr>
          <w:rFonts w:ascii="Times New Roman" w:hAnsi="Times New Roman" w:cs="Times New Roman"/>
        </w:rPr>
        <w:t>)</w:t>
      </w:r>
      <w:r w:rsidR="00514B81" w:rsidRPr="00736A93">
        <w:rPr>
          <w:rFonts w:ascii="Times New Roman" w:hAnsi="Times New Roman" w:cs="Times New Roman"/>
        </w:rPr>
        <w:t xml:space="preserve"> consisted of a wire press machine that was set to spew out pages of propaganda and harsh realities of the Vietnam War that </w:t>
      </w:r>
      <w:r w:rsidR="00C94816" w:rsidRPr="00736A93">
        <w:rPr>
          <w:rFonts w:ascii="Times New Roman" w:hAnsi="Times New Roman" w:cs="Times New Roman"/>
        </w:rPr>
        <w:t>were present in the media.</w:t>
      </w:r>
      <w:r w:rsidR="00DA18D6">
        <w:rPr>
          <w:rStyle w:val="FootnoteReference"/>
          <w:rFonts w:ascii="Times New Roman" w:hAnsi="Times New Roman" w:cs="Times New Roman"/>
        </w:rPr>
        <w:footnoteReference w:id="10"/>
      </w:r>
      <w:r w:rsidR="00C94816" w:rsidRPr="00736A93">
        <w:rPr>
          <w:rFonts w:ascii="Times New Roman" w:hAnsi="Times New Roman" w:cs="Times New Roman"/>
        </w:rPr>
        <w:t xml:space="preserve"> Both Haacke and Matta used their respective mediums to critique how America responded to the conflict in Vietnam. Furthermore, a group of Los Angeles natives known as Asco participated in the Chicano protests that spoke out against Mexican-Americans being drafted and killed in the Vietnam War.</w:t>
      </w:r>
      <w:r w:rsidR="00DA18D6">
        <w:rPr>
          <w:rStyle w:val="FootnoteReference"/>
          <w:rFonts w:ascii="Times New Roman" w:hAnsi="Times New Roman" w:cs="Times New Roman"/>
        </w:rPr>
        <w:footnoteReference w:id="11"/>
      </w:r>
      <w:r w:rsidR="00C94816" w:rsidRPr="00736A93">
        <w:rPr>
          <w:rFonts w:ascii="Times New Roman" w:hAnsi="Times New Roman" w:cs="Times New Roman"/>
        </w:rPr>
        <w:t xml:space="preserve"> Asco produced the series </w:t>
      </w:r>
      <w:r w:rsidR="00C94816" w:rsidRPr="00736A93">
        <w:rPr>
          <w:rFonts w:ascii="Times New Roman" w:hAnsi="Times New Roman" w:cs="Times New Roman"/>
          <w:i/>
          <w:iCs/>
        </w:rPr>
        <w:t xml:space="preserve">No Movies (1975-1978) </w:t>
      </w:r>
      <w:r w:rsidR="00C94816" w:rsidRPr="00736A93">
        <w:rPr>
          <w:rFonts w:ascii="Times New Roman" w:hAnsi="Times New Roman" w:cs="Times New Roman"/>
        </w:rPr>
        <w:t xml:space="preserve">that included scenes from fictitious movies that depicted gang </w:t>
      </w:r>
      <w:r w:rsidR="00C94816" w:rsidRPr="00736A93">
        <w:rPr>
          <w:rFonts w:ascii="Times New Roman" w:hAnsi="Times New Roman" w:cs="Times New Roman"/>
        </w:rPr>
        <w:lastRenderedPageBreak/>
        <w:t>warfare in East LA.</w:t>
      </w:r>
      <w:r w:rsidR="00DA18D6">
        <w:rPr>
          <w:rStyle w:val="FootnoteReference"/>
          <w:rFonts w:ascii="Times New Roman" w:hAnsi="Times New Roman" w:cs="Times New Roman"/>
        </w:rPr>
        <w:footnoteReference w:id="12"/>
      </w:r>
      <w:r w:rsidR="00C94816" w:rsidRPr="00736A93">
        <w:rPr>
          <w:rFonts w:ascii="Times New Roman" w:hAnsi="Times New Roman" w:cs="Times New Roman"/>
        </w:rPr>
        <w:t xml:space="preserve"> </w:t>
      </w:r>
      <w:r w:rsidR="00233960" w:rsidRPr="00736A93">
        <w:rPr>
          <w:rFonts w:ascii="Times New Roman" w:hAnsi="Times New Roman" w:cs="Times New Roman"/>
        </w:rPr>
        <w:t xml:space="preserve">Their work, along with Matta and Haacke’s, was politically motivated and called upon the end of systemic racism in the Mexican-American population. </w:t>
      </w:r>
      <w:r w:rsidR="00233960" w:rsidRPr="00736A93">
        <w:rPr>
          <w:rFonts w:ascii="Times New Roman" w:hAnsi="Times New Roman" w:cs="Times New Roman"/>
          <w:i/>
          <w:iCs/>
        </w:rPr>
        <w:t xml:space="preserve">Burn, Baby, Burn (Lescalade) </w:t>
      </w:r>
      <w:r w:rsidR="00233960" w:rsidRPr="00736A93">
        <w:rPr>
          <w:rFonts w:ascii="Times New Roman" w:hAnsi="Times New Roman" w:cs="Times New Roman"/>
        </w:rPr>
        <w:t xml:space="preserve">serves as both an origin and continuation of broader institutional critiques seen across Contemporary Art. </w:t>
      </w:r>
    </w:p>
    <w:p w14:paraId="194F0E3A" w14:textId="23222D49" w:rsidR="00736A93" w:rsidRPr="00736A93" w:rsidRDefault="00233960" w:rsidP="00DA18D6">
      <w:pPr>
        <w:spacing w:after="0" w:line="480" w:lineRule="auto"/>
        <w:rPr>
          <w:rFonts w:ascii="Times New Roman" w:hAnsi="Times New Roman" w:cs="Times New Roman"/>
        </w:rPr>
      </w:pPr>
      <w:r w:rsidRPr="00736A93">
        <w:rPr>
          <w:rFonts w:ascii="Times New Roman" w:hAnsi="Times New Roman" w:cs="Times New Roman"/>
        </w:rPr>
        <w:tab/>
        <w:t>Roberto Matta’s large-scale work is more than a colossal-sized juxtaposition of colors – it is a reminder of a tumultuous time in American history, one that fails to commemorate the largest civil uprising of the 20</w:t>
      </w:r>
      <w:r w:rsidRPr="00736A93">
        <w:rPr>
          <w:rFonts w:ascii="Times New Roman" w:hAnsi="Times New Roman" w:cs="Times New Roman"/>
          <w:vertAlign w:val="superscript"/>
        </w:rPr>
        <w:t>th</w:t>
      </w:r>
      <w:r w:rsidRPr="00736A93">
        <w:rPr>
          <w:rFonts w:ascii="Times New Roman" w:hAnsi="Times New Roman" w:cs="Times New Roman"/>
        </w:rPr>
        <w:t xml:space="preserve"> century. By incorporating Freudian psychoanalysis,</w:t>
      </w:r>
      <w:r w:rsidR="00693F9C" w:rsidRPr="00736A93">
        <w:rPr>
          <w:rFonts w:ascii="Times New Roman" w:hAnsi="Times New Roman" w:cs="Times New Roman"/>
        </w:rPr>
        <w:t xml:space="preserve"> elements of Noah Purifoy and Judson Powell’s charred readymades, and visual representations of the rebellion’s turmoil, Matta’s </w:t>
      </w:r>
      <w:r w:rsidR="00693F9C" w:rsidRPr="00736A93">
        <w:rPr>
          <w:rFonts w:ascii="Times New Roman" w:hAnsi="Times New Roman" w:cs="Times New Roman"/>
          <w:i/>
          <w:iCs/>
        </w:rPr>
        <w:t xml:space="preserve">Burn, Baby, Burn (Lescalade) </w:t>
      </w:r>
      <w:r w:rsidR="00E81B68" w:rsidRPr="00736A93">
        <w:rPr>
          <w:rFonts w:ascii="Times New Roman" w:hAnsi="Times New Roman" w:cs="Times New Roman"/>
        </w:rPr>
        <w:t xml:space="preserve">sits prominently in LACMA as a memorial of a time that surfaced systemic injustices of modern society. His work is emblematic of the role that art plays in preserving history. George Santayana, philosopher and writer, </w:t>
      </w:r>
      <w:r w:rsidR="00E82A03">
        <w:rPr>
          <w:rFonts w:ascii="Times New Roman" w:hAnsi="Times New Roman" w:cs="Times New Roman"/>
        </w:rPr>
        <w:t>stated,</w:t>
      </w:r>
      <w:r w:rsidR="00E81B68" w:rsidRPr="00736A93">
        <w:rPr>
          <w:rFonts w:ascii="Times New Roman" w:hAnsi="Times New Roman" w:cs="Times New Roman"/>
        </w:rPr>
        <w:t xml:space="preserve"> “Those who cannot remember the past are condemned to repeat it.”</w:t>
      </w:r>
      <w:r w:rsidR="00736A93" w:rsidRPr="00736A93">
        <w:rPr>
          <w:rStyle w:val="FootnoteReference"/>
          <w:rFonts w:ascii="Times New Roman" w:hAnsi="Times New Roman" w:cs="Times New Roman"/>
        </w:rPr>
        <w:footnoteReference w:id="13"/>
      </w:r>
      <w:r w:rsidR="00E81B68" w:rsidRPr="00736A93">
        <w:rPr>
          <w:rFonts w:ascii="Times New Roman" w:hAnsi="Times New Roman" w:cs="Times New Roman"/>
        </w:rPr>
        <w:t xml:space="preserve"> Therefore, </w:t>
      </w:r>
      <w:r w:rsidR="00E81B68" w:rsidRPr="00736A93">
        <w:rPr>
          <w:rFonts w:ascii="Times New Roman" w:hAnsi="Times New Roman" w:cs="Times New Roman"/>
          <w:i/>
          <w:iCs/>
        </w:rPr>
        <w:t>Burn, Baby, Burn (Lescalade)</w:t>
      </w:r>
      <w:r w:rsidR="00736A93" w:rsidRPr="00736A93">
        <w:rPr>
          <w:rFonts w:ascii="Times New Roman" w:hAnsi="Times New Roman" w:cs="Times New Roman"/>
          <w:i/>
          <w:iCs/>
        </w:rPr>
        <w:t xml:space="preserve"> </w:t>
      </w:r>
      <w:r w:rsidR="00736A93" w:rsidRPr="00736A93">
        <w:rPr>
          <w:rFonts w:ascii="Times New Roman" w:hAnsi="Times New Roman" w:cs="Times New Roman"/>
        </w:rPr>
        <w:t>is a work that will never let society forget the oppression and discrimination that took place during the Vietnam War and Watts Rebellion. And it also happens to be a painting.</w:t>
      </w:r>
    </w:p>
    <w:p w14:paraId="4B55CB34" w14:textId="77777777" w:rsidR="00736A93" w:rsidRPr="00736A93" w:rsidRDefault="00736A93" w:rsidP="00736A93">
      <w:pPr>
        <w:spacing w:after="0" w:line="240" w:lineRule="auto"/>
        <w:rPr>
          <w:rFonts w:ascii="Times New Roman" w:hAnsi="Times New Roman" w:cs="Times New Roman"/>
        </w:rPr>
      </w:pPr>
    </w:p>
    <w:p w14:paraId="64B8B35D" w14:textId="065FE21E" w:rsidR="00736A93" w:rsidRDefault="00736A93" w:rsidP="00736A93">
      <w:pPr>
        <w:spacing w:after="0" w:line="240" w:lineRule="auto"/>
        <w:jc w:val="center"/>
        <w:rPr>
          <w:rFonts w:ascii="Times New Roman" w:hAnsi="Times New Roman" w:cs="Times New Roman"/>
        </w:rPr>
      </w:pPr>
      <w:r>
        <w:rPr>
          <w:rFonts w:ascii="Times New Roman" w:hAnsi="Times New Roman" w:cs="Times New Roman"/>
        </w:rPr>
        <w:t>Bibliography:</w:t>
      </w:r>
    </w:p>
    <w:p w14:paraId="6436EF95" w14:textId="3AE75E18" w:rsidR="00736A93" w:rsidRDefault="00736A93" w:rsidP="00736A93">
      <w:pPr>
        <w:pStyle w:val="ListParagraph"/>
        <w:numPr>
          <w:ilvl w:val="0"/>
          <w:numId w:val="3"/>
        </w:numPr>
        <w:spacing w:after="0" w:line="240" w:lineRule="auto"/>
        <w:rPr>
          <w:rFonts w:ascii="Times New Roman" w:hAnsi="Times New Roman" w:cs="Times New Roman"/>
        </w:rPr>
      </w:pPr>
      <w:r w:rsidRPr="00736A93">
        <w:rPr>
          <w:rFonts w:ascii="Times New Roman" w:hAnsi="Times New Roman" w:cs="Times New Roman"/>
        </w:rPr>
        <w:t>Santayana, George. The Life of Reason: Reason in Common Sense. New York: Scribner’s, 1905.</w:t>
      </w:r>
    </w:p>
    <w:p w14:paraId="10255982" w14:textId="7BE34CB1" w:rsidR="00736A93" w:rsidRDefault="00653CB5" w:rsidP="00736A93">
      <w:pPr>
        <w:pStyle w:val="ListParagraph"/>
        <w:numPr>
          <w:ilvl w:val="0"/>
          <w:numId w:val="3"/>
        </w:numPr>
        <w:spacing w:after="0" w:line="240" w:lineRule="auto"/>
        <w:rPr>
          <w:rFonts w:ascii="Times New Roman" w:hAnsi="Times New Roman" w:cs="Times New Roman"/>
        </w:rPr>
      </w:pPr>
      <w:r>
        <w:rPr>
          <w:rFonts w:ascii="Times New Roman" w:hAnsi="Times New Roman" w:cs="Times New Roman"/>
        </w:rPr>
        <w:t>Class lecture.</w:t>
      </w:r>
    </w:p>
    <w:p w14:paraId="1BFE828D" w14:textId="078F58C3" w:rsidR="00653CB5" w:rsidRDefault="00653CB5" w:rsidP="00736A93">
      <w:pPr>
        <w:pStyle w:val="ListParagraph"/>
        <w:numPr>
          <w:ilvl w:val="0"/>
          <w:numId w:val="3"/>
        </w:numPr>
        <w:spacing w:after="0" w:line="240" w:lineRule="auto"/>
        <w:rPr>
          <w:rFonts w:ascii="Times New Roman" w:hAnsi="Times New Roman" w:cs="Times New Roman"/>
        </w:rPr>
      </w:pPr>
      <w:r w:rsidRPr="00653CB5">
        <w:rPr>
          <w:rFonts w:ascii="Times New Roman" w:hAnsi="Times New Roman" w:cs="Times New Roman"/>
        </w:rPr>
        <w:t>Horne, Gerald. Fire This Time: The Watts Uprising and the 1960s. Charlottesville: University of Virginia Press, 1995.</w:t>
      </w:r>
    </w:p>
    <w:p w14:paraId="1BC92128" w14:textId="42745CB0" w:rsidR="00653CB5" w:rsidRDefault="00653CB5" w:rsidP="00736A93">
      <w:pPr>
        <w:pStyle w:val="ListParagraph"/>
        <w:numPr>
          <w:ilvl w:val="0"/>
          <w:numId w:val="3"/>
        </w:numPr>
        <w:spacing w:after="0" w:line="240" w:lineRule="auto"/>
        <w:rPr>
          <w:rFonts w:ascii="Times New Roman" w:hAnsi="Times New Roman" w:cs="Times New Roman"/>
        </w:rPr>
      </w:pPr>
      <w:r w:rsidRPr="00653CB5">
        <w:rPr>
          <w:rFonts w:ascii="Times New Roman" w:hAnsi="Times New Roman" w:cs="Times New Roman"/>
        </w:rPr>
        <w:t>Vincent, Rickey. Party Music: The Inside Story of the Black Panthers’ Band and How Black Power Transformed Soul Music. Chicago: Lawrence Hill Books, 2013.</w:t>
      </w:r>
    </w:p>
    <w:p w14:paraId="05594743" w14:textId="2EADFEA5" w:rsidR="00653CB5" w:rsidRDefault="00653CB5" w:rsidP="00653CB5">
      <w:pPr>
        <w:pStyle w:val="ListParagraph"/>
        <w:numPr>
          <w:ilvl w:val="0"/>
          <w:numId w:val="3"/>
        </w:numPr>
        <w:spacing w:after="0" w:line="240" w:lineRule="auto"/>
        <w:rPr>
          <w:rFonts w:ascii="Times New Roman" w:hAnsi="Times New Roman" w:cs="Times New Roman"/>
        </w:rPr>
      </w:pPr>
      <w:r w:rsidRPr="00653CB5">
        <w:rPr>
          <w:rFonts w:ascii="Times New Roman" w:hAnsi="Times New Roman" w:cs="Times New Roman"/>
        </w:rPr>
        <w:t>Purifoy, Noah, and Judson Powell. 66 Signs of Neon. Los Angeles: Brockman Gallery, 1966.</w:t>
      </w:r>
    </w:p>
    <w:p w14:paraId="50F5051A" w14:textId="4F99F0C0" w:rsidR="00653CB5" w:rsidRDefault="003C03EF" w:rsidP="00653CB5">
      <w:pPr>
        <w:pStyle w:val="ListParagraph"/>
        <w:numPr>
          <w:ilvl w:val="0"/>
          <w:numId w:val="3"/>
        </w:numPr>
        <w:spacing w:after="0" w:line="240" w:lineRule="auto"/>
        <w:rPr>
          <w:rFonts w:ascii="Times New Roman" w:hAnsi="Times New Roman" w:cs="Times New Roman"/>
        </w:rPr>
      </w:pPr>
      <w:r w:rsidRPr="003C03EF">
        <w:rPr>
          <w:rFonts w:ascii="Times New Roman" w:hAnsi="Times New Roman" w:cs="Times New Roman"/>
        </w:rPr>
        <w:t>Sawin, Martica. Surrealism in Exile and the Beginning of the New York School. Cambridge, MA: MIT Press, 1995.</w:t>
      </w:r>
    </w:p>
    <w:p w14:paraId="5D2BC28D" w14:textId="68B1983C" w:rsidR="003C03EF" w:rsidRDefault="00DA18D6" w:rsidP="00653CB5">
      <w:pPr>
        <w:pStyle w:val="ListParagraph"/>
        <w:numPr>
          <w:ilvl w:val="0"/>
          <w:numId w:val="3"/>
        </w:numPr>
        <w:spacing w:after="0" w:line="240" w:lineRule="auto"/>
        <w:rPr>
          <w:rFonts w:ascii="Times New Roman" w:hAnsi="Times New Roman" w:cs="Times New Roman"/>
        </w:rPr>
      </w:pPr>
      <w:r w:rsidRPr="00DA18D6">
        <w:rPr>
          <w:rFonts w:ascii="Times New Roman" w:hAnsi="Times New Roman" w:cs="Times New Roman"/>
        </w:rPr>
        <w:t>Kelly, Mary. Notes on Reading the Post-Partum Document. 1976.</w:t>
      </w:r>
    </w:p>
    <w:p w14:paraId="67AC793A" w14:textId="2E6C6D3D" w:rsidR="00340A69" w:rsidRPr="00DA18D6" w:rsidRDefault="00DA18D6" w:rsidP="00DA18D6">
      <w:pPr>
        <w:pStyle w:val="ListParagraph"/>
        <w:numPr>
          <w:ilvl w:val="0"/>
          <w:numId w:val="3"/>
        </w:numPr>
        <w:spacing w:after="0" w:line="240" w:lineRule="auto"/>
        <w:rPr>
          <w:rFonts w:ascii="Times New Roman" w:hAnsi="Times New Roman" w:cs="Times New Roman"/>
        </w:rPr>
      </w:pPr>
      <w:r w:rsidRPr="00DA18D6">
        <w:rPr>
          <w:rFonts w:ascii="Times New Roman" w:hAnsi="Times New Roman" w:cs="Times New Roman"/>
        </w:rPr>
        <w:lastRenderedPageBreak/>
        <w:t>Haacke, Hans. Symbolic Capital Management. In The Society of Control: The Academy and the Corporate Public, 1997/1999.</w:t>
      </w:r>
    </w:p>
    <w:sectPr w:rsidR="00340A69" w:rsidRPr="00DA18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BC19B8" w14:textId="77777777" w:rsidR="00D01B32" w:rsidRDefault="00D01B32" w:rsidP="00736A93">
      <w:pPr>
        <w:spacing w:after="0" w:line="240" w:lineRule="auto"/>
      </w:pPr>
      <w:r>
        <w:separator/>
      </w:r>
    </w:p>
  </w:endnote>
  <w:endnote w:type="continuationSeparator" w:id="0">
    <w:p w14:paraId="64760E95" w14:textId="77777777" w:rsidR="00D01B32" w:rsidRDefault="00D01B32" w:rsidP="00736A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446196" w14:textId="77777777" w:rsidR="00D01B32" w:rsidRDefault="00D01B32" w:rsidP="00736A93">
      <w:pPr>
        <w:spacing w:after="0" w:line="240" w:lineRule="auto"/>
      </w:pPr>
      <w:r>
        <w:separator/>
      </w:r>
    </w:p>
  </w:footnote>
  <w:footnote w:type="continuationSeparator" w:id="0">
    <w:p w14:paraId="6F71450C" w14:textId="77777777" w:rsidR="00D01B32" w:rsidRDefault="00D01B32" w:rsidP="00736A93">
      <w:pPr>
        <w:spacing w:after="0" w:line="240" w:lineRule="auto"/>
      </w:pPr>
      <w:r>
        <w:continuationSeparator/>
      </w:r>
    </w:p>
  </w:footnote>
  <w:footnote w:id="1">
    <w:p w14:paraId="698D75BE" w14:textId="7F2B8C4F" w:rsidR="00736A93" w:rsidRPr="00653CB5" w:rsidRDefault="00736A93">
      <w:pPr>
        <w:pStyle w:val="FootnoteText"/>
        <w:rPr>
          <w:rFonts w:ascii="Times New Roman" w:hAnsi="Times New Roman" w:cs="Times New Roman"/>
        </w:rPr>
      </w:pPr>
      <w:r w:rsidRPr="00653CB5">
        <w:rPr>
          <w:rStyle w:val="FootnoteReference"/>
          <w:rFonts w:ascii="Times New Roman" w:hAnsi="Times New Roman" w:cs="Times New Roman"/>
        </w:rPr>
        <w:footnoteRef/>
      </w:r>
      <w:r w:rsidRPr="00653CB5">
        <w:rPr>
          <w:rFonts w:ascii="Times New Roman" w:hAnsi="Times New Roman" w:cs="Times New Roman"/>
        </w:rPr>
        <w:t xml:space="preserve"> Class lecture.</w:t>
      </w:r>
    </w:p>
  </w:footnote>
  <w:footnote w:id="2">
    <w:p w14:paraId="78BB8A98" w14:textId="10FCF5C0" w:rsidR="00653CB5" w:rsidRPr="00653CB5" w:rsidRDefault="00653CB5">
      <w:pPr>
        <w:pStyle w:val="FootnoteText"/>
        <w:rPr>
          <w:rFonts w:ascii="Times New Roman" w:hAnsi="Times New Roman" w:cs="Times New Roman"/>
        </w:rPr>
      </w:pPr>
      <w:r w:rsidRPr="00653CB5">
        <w:rPr>
          <w:rStyle w:val="FootnoteReference"/>
          <w:rFonts w:ascii="Times New Roman" w:hAnsi="Times New Roman" w:cs="Times New Roman"/>
        </w:rPr>
        <w:footnoteRef/>
      </w:r>
      <w:r w:rsidRPr="00653CB5">
        <w:rPr>
          <w:rFonts w:ascii="Times New Roman" w:hAnsi="Times New Roman" w:cs="Times New Roman"/>
        </w:rPr>
        <w:t xml:space="preserve"> Gerald Horne, Fire This Time: The Watts Uprising and the 1960s (Charlottesville: University of Virginia Press, 1995), 1–2.</w:t>
      </w:r>
      <w:r>
        <w:rPr>
          <w:rFonts w:ascii="Times New Roman" w:hAnsi="Times New Roman" w:cs="Times New Roman"/>
        </w:rPr>
        <w:t xml:space="preserve"> </w:t>
      </w:r>
    </w:p>
  </w:footnote>
  <w:footnote w:id="3">
    <w:p w14:paraId="33B5688F" w14:textId="1107A58B" w:rsidR="00653CB5" w:rsidRPr="00653CB5" w:rsidRDefault="00653CB5">
      <w:pPr>
        <w:pStyle w:val="FootnoteText"/>
        <w:rPr>
          <w:rFonts w:ascii="Times New Roman" w:hAnsi="Times New Roman" w:cs="Times New Roman"/>
        </w:rPr>
      </w:pPr>
      <w:r w:rsidRPr="00653CB5">
        <w:rPr>
          <w:rStyle w:val="FootnoteReference"/>
          <w:rFonts w:ascii="Times New Roman" w:hAnsi="Times New Roman" w:cs="Times New Roman"/>
        </w:rPr>
        <w:footnoteRef/>
      </w:r>
      <w:r w:rsidRPr="00653CB5">
        <w:rPr>
          <w:rFonts w:ascii="Times New Roman" w:hAnsi="Times New Roman" w:cs="Times New Roman"/>
        </w:rPr>
        <w:t xml:space="preserve"> Rickey Vincent, Party Music: The Inside Story of the Black Panthers’ Band and How Black Power Transformed Soul Music (Chicago: Lawrence Hill Books, 2013), 45–47.</w:t>
      </w:r>
    </w:p>
  </w:footnote>
  <w:footnote w:id="4">
    <w:p w14:paraId="0780B39E" w14:textId="2596E793" w:rsidR="00653CB5" w:rsidRPr="00DA18D6" w:rsidRDefault="00653CB5">
      <w:pPr>
        <w:pStyle w:val="FootnoteText"/>
        <w:rPr>
          <w:rFonts w:ascii="Times New Roman" w:hAnsi="Times New Roman" w:cs="Times New Roman"/>
        </w:rPr>
      </w:pPr>
      <w:r w:rsidRPr="00DA18D6">
        <w:rPr>
          <w:rStyle w:val="FootnoteReference"/>
          <w:rFonts w:ascii="Times New Roman" w:hAnsi="Times New Roman" w:cs="Times New Roman"/>
        </w:rPr>
        <w:footnoteRef/>
      </w:r>
      <w:r w:rsidRPr="00DA18D6">
        <w:rPr>
          <w:rFonts w:ascii="Times New Roman" w:hAnsi="Times New Roman" w:cs="Times New Roman"/>
        </w:rPr>
        <w:t xml:space="preserve"> Noah Purifoy and Judson Powell, 66 Signs of Neon (Los Angeles: Brockman Gallery, 1966), 6.</w:t>
      </w:r>
    </w:p>
  </w:footnote>
  <w:footnote w:id="5">
    <w:p w14:paraId="7D501E7A" w14:textId="5FB58D11" w:rsidR="003C03EF" w:rsidRPr="003C03EF" w:rsidRDefault="003C03EF">
      <w:pPr>
        <w:pStyle w:val="FootnoteText"/>
        <w:rPr>
          <w:rFonts w:ascii="Times New Roman" w:hAnsi="Times New Roman" w:cs="Times New Roman"/>
        </w:rPr>
      </w:pPr>
      <w:r w:rsidRPr="00DA18D6">
        <w:rPr>
          <w:rStyle w:val="FootnoteReference"/>
          <w:rFonts w:ascii="Times New Roman" w:hAnsi="Times New Roman" w:cs="Times New Roman"/>
        </w:rPr>
        <w:footnoteRef/>
      </w:r>
      <w:r w:rsidRPr="00DA18D6">
        <w:rPr>
          <w:rFonts w:ascii="Times New Roman" w:hAnsi="Times New Roman" w:cs="Times New Roman"/>
        </w:rPr>
        <w:t xml:space="preserve"> LACMA docent</w:t>
      </w:r>
    </w:p>
  </w:footnote>
  <w:footnote w:id="6">
    <w:p w14:paraId="0351674A" w14:textId="7DC6151D" w:rsidR="003C03EF" w:rsidRPr="00DA18D6" w:rsidRDefault="003C03EF">
      <w:pPr>
        <w:pStyle w:val="FootnoteText"/>
        <w:rPr>
          <w:rFonts w:ascii="Times New Roman" w:hAnsi="Times New Roman" w:cs="Times New Roman"/>
        </w:rPr>
      </w:pPr>
      <w:r w:rsidRPr="00DA18D6">
        <w:rPr>
          <w:rStyle w:val="FootnoteReference"/>
          <w:rFonts w:ascii="Times New Roman" w:hAnsi="Times New Roman" w:cs="Times New Roman"/>
        </w:rPr>
        <w:footnoteRef/>
      </w:r>
      <w:r w:rsidRPr="00DA18D6">
        <w:rPr>
          <w:rFonts w:ascii="Times New Roman" w:hAnsi="Times New Roman" w:cs="Times New Roman"/>
        </w:rPr>
        <w:t xml:space="preserve"> Martica Sawin, Surrealism in Exile and the Beginning of the New York School (Cambridge, MA: MIT Press, 1995), 229.</w:t>
      </w:r>
    </w:p>
  </w:footnote>
  <w:footnote w:id="7">
    <w:p w14:paraId="222A307C" w14:textId="2EDC871D" w:rsidR="003C03EF" w:rsidRPr="00DA18D6" w:rsidRDefault="003C03EF">
      <w:pPr>
        <w:pStyle w:val="FootnoteText"/>
        <w:rPr>
          <w:rFonts w:ascii="Times New Roman" w:hAnsi="Times New Roman" w:cs="Times New Roman"/>
        </w:rPr>
      </w:pPr>
      <w:r w:rsidRPr="00DA18D6">
        <w:rPr>
          <w:rStyle w:val="FootnoteReference"/>
          <w:rFonts w:ascii="Times New Roman" w:hAnsi="Times New Roman" w:cs="Times New Roman"/>
        </w:rPr>
        <w:footnoteRef/>
      </w:r>
      <w:r w:rsidRPr="00DA18D6">
        <w:rPr>
          <w:rFonts w:ascii="Times New Roman" w:hAnsi="Times New Roman" w:cs="Times New Roman"/>
        </w:rPr>
        <w:t xml:space="preserve"> Martica Sawin, Surrealism in Exile and the Beginning of the New York School (Cambridge, MA: MIT Press, 1995), 229–231.</w:t>
      </w:r>
    </w:p>
  </w:footnote>
  <w:footnote w:id="8">
    <w:p w14:paraId="46CEBF95" w14:textId="53726519" w:rsidR="00DA18D6" w:rsidRPr="00DA18D6" w:rsidRDefault="00DA18D6">
      <w:pPr>
        <w:pStyle w:val="FootnoteText"/>
        <w:rPr>
          <w:rFonts w:ascii="Times New Roman" w:hAnsi="Times New Roman" w:cs="Times New Roman"/>
        </w:rPr>
      </w:pPr>
      <w:r w:rsidRPr="00DA18D6">
        <w:rPr>
          <w:rStyle w:val="FootnoteReference"/>
          <w:rFonts w:ascii="Times New Roman" w:hAnsi="Times New Roman" w:cs="Times New Roman"/>
        </w:rPr>
        <w:footnoteRef/>
      </w:r>
      <w:r w:rsidRPr="00DA18D6">
        <w:rPr>
          <w:rFonts w:ascii="Times New Roman" w:hAnsi="Times New Roman" w:cs="Times New Roman"/>
        </w:rPr>
        <w:t xml:space="preserve"> Mary Kelly, Notes on Reading the Post-Partum Document (1976), 370.</w:t>
      </w:r>
    </w:p>
  </w:footnote>
  <w:footnote w:id="9">
    <w:p w14:paraId="3980E083" w14:textId="19416854" w:rsidR="00DA18D6" w:rsidRPr="00DA18D6" w:rsidRDefault="00DA18D6">
      <w:pPr>
        <w:pStyle w:val="FootnoteText"/>
        <w:rPr>
          <w:rFonts w:ascii="Times New Roman" w:hAnsi="Times New Roman" w:cs="Times New Roman"/>
        </w:rPr>
      </w:pPr>
      <w:r w:rsidRPr="00DA18D6">
        <w:rPr>
          <w:rStyle w:val="FootnoteReference"/>
          <w:rFonts w:ascii="Times New Roman" w:hAnsi="Times New Roman" w:cs="Times New Roman"/>
        </w:rPr>
        <w:footnoteRef/>
      </w:r>
      <w:r w:rsidRPr="00DA18D6">
        <w:rPr>
          <w:rFonts w:ascii="Times New Roman" w:hAnsi="Times New Roman" w:cs="Times New Roman"/>
        </w:rPr>
        <w:t xml:space="preserve"> Hans Haacke, Symbolic Capital Management (1997), in The Society of Control: The Academy and the Corporate Public, 1997/1999, 6.</w:t>
      </w:r>
    </w:p>
  </w:footnote>
  <w:footnote w:id="10">
    <w:p w14:paraId="3026B23F" w14:textId="7BE1C6CF" w:rsidR="00DA18D6" w:rsidRPr="00DA18D6" w:rsidRDefault="00DA18D6">
      <w:pPr>
        <w:pStyle w:val="FootnoteText"/>
        <w:rPr>
          <w:rFonts w:ascii="Times New Roman" w:hAnsi="Times New Roman" w:cs="Times New Roman"/>
        </w:rPr>
      </w:pPr>
      <w:r w:rsidRPr="00DA18D6">
        <w:rPr>
          <w:rStyle w:val="FootnoteReference"/>
          <w:rFonts w:ascii="Times New Roman" w:hAnsi="Times New Roman" w:cs="Times New Roman"/>
        </w:rPr>
        <w:footnoteRef/>
      </w:r>
      <w:r w:rsidRPr="00DA18D6">
        <w:rPr>
          <w:rFonts w:ascii="Times New Roman" w:hAnsi="Times New Roman" w:cs="Times New Roman"/>
        </w:rPr>
        <w:t xml:space="preserve"> Class lecture.</w:t>
      </w:r>
    </w:p>
  </w:footnote>
  <w:footnote w:id="11">
    <w:p w14:paraId="2F67724F" w14:textId="3EFD5D8F" w:rsidR="00DA18D6" w:rsidRPr="00DA18D6" w:rsidRDefault="00DA18D6">
      <w:pPr>
        <w:pStyle w:val="FootnoteText"/>
        <w:rPr>
          <w:rFonts w:ascii="Times New Roman" w:hAnsi="Times New Roman" w:cs="Times New Roman"/>
        </w:rPr>
      </w:pPr>
      <w:r w:rsidRPr="00DA18D6">
        <w:rPr>
          <w:rStyle w:val="FootnoteReference"/>
          <w:rFonts w:ascii="Times New Roman" w:hAnsi="Times New Roman" w:cs="Times New Roman"/>
        </w:rPr>
        <w:footnoteRef/>
      </w:r>
      <w:r w:rsidRPr="00DA18D6">
        <w:rPr>
          <w:rFonts w:ascii="Times New Roman" w:hAnsi="Times New Roman" w:cs="Times New Roman"/>
        </w:rPr>
        <w:t xml:space="preserve"> Class lecture.</w:t>
      </w:r>
    </w:p>
  </w:footnote>
  <w:footnote w:id="12">
    <w:p w14:paraId="7319030B" w14:textId="7F268A86" w:rsidR="00DA18D6" w:rsidRPr="00DA18D6" w:rsidRDefault="00DA18D6">
      <w:pPr>
        <w:pStyle w:val="FootnoteText"/>
        <w:rPr>
          <w:rFonts w:ascii="Times New Roman" w:hAnsi="Times New Roman" w:cs="Times New Roman"/>
        </w:rPr>
      </w:pPr>
      <w:r w:rsidRPr="00DA18D6">
        <w:rPr>
          <w:rStyle w:val="FootnoteReference"/>
          <w:rFonts w:ascii="Times New Roman" w:hAnsi="Times New Roman" w:cs="Times New Roman"/>
        </w:rPr>
        <w:footnoteRef/>
      </w:r>
      <w:r w:rsidRPr="00DA18D6">
        <w:rPr>
          <w:rFonts w:ascii="Times New Roman" w:hAnsi="Times New Roman" w:cs="Times New Roman"/>
        </w:rPr>
        <w:t xml:space="preserve"> Class lecture.</w:t>
      </w:r>
    </w:p>
  </w:footnote>
  <w:footnote w:id="13">
    <w:p w14:paraId="318E6546" w14:textId="3436A63A" w:rsidR="00736A93" w:rsidRPr="00736A93" w:rsidRDefault="00736A93">
      <w:pPr>
        <w:pStyle w:val="FootnoteText"/>
        <w:rPr>
          <w:rFonts w:ascii="Times New Roman" w:hAnsi="Times New Roman" w:cs="Times New Roman"/>
        </w:rPr>
      </w:pPr>
      <w:r w:rsidRPr="00736A93">
        <w:rPr>
          <w:rStyle w:val="FootnoteReference"/>
          <w:rFonts w:ascii="Times New Roman" w:hAnsi="Times New Roman" w:cs="Times New Roman"/>
        </w:rPr>
        <w:footnoteRef/>
      </w:r>
      <w:r w:rsidRPr="00736A93">
        <w:rPr>
          <w:rFonts w:ascii="Times New Roman" w:hAnsi="Times New Roman" w:cs="Times New Roman"/>
        </w:rPr>
        <w:t xml:space="preserve"> George Santayana, The Life of Reason: Reason in Common Sense (New York: Scribner’s, 1905), 284.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62056"/>
    <w:multiLevelType w:val="hybridMultilevel"/>
    <w:tmpl w:val="83BEA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7841D9"/>
    <w:multiLevelType w:val="multilevel"/>
    <w:tmpl w:val="AEB27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E774D6"/>
    <w:multiLevelType w:val="hybridMultilevel"/>
    <w:tmpl w:val="35F08F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38165439">
    <w:abstractNumId w:val="2"/>
  </w:num>
  <w:num w:numId="2" w16cid:durableId="1496385261">
    <w:abstractNumId w:val="1"/>
  </w:num>
  <w:num w:numId="3" w16cid:durableId="7794230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42B"/>
    <w:rsid w:val="0000374F"/>
    <w:rsid w:val="00096E62"/>
    <w:rsid w:val="000A36BA"/>
    <w:rsid w:val="00111B3E"/>
    <w:rsid w:val="00163E67"/>
    <w:rsid w:val="001D0914"/>
    <w:rsid w:val="001F52B8"/>
    <w:rsid w:val="00233960"/>
    <w:rsid w:val="002759C4"/>
    <w:rsid w:val="003300A3"/>
    <w:rsid w:val="00340A69"/>
    <w:rsid w:val="003B2367"/>
    <w:rsid w:val="003C03EF"/>
    <w:rsid w:val="003C4337"/>
    <w:rsid w:val="00514B81"/>
    <w:rsid w:val="005A1DBC"/>
    <w:rsid w:val="006111FE"/>
    <w:rsid w:val="00653CB5"/>
    <w:rsid w:val="00654652"/>
    <w:rsid w:val="00693F9C"/>
    <w:rsid w:val="006E550B"/>
    <w:rsid w:val="00721040"/>
    <w:rsid w:val="00736A93"/>
    <w:rsid w:val="00794B45"/>
    <w:rsid w:val="00827CA2"/>
    <w:rsid w:val="0085572A"/>
    <w:rsid w:val="008B3976"/>
    <w:rsid w:val="008C71DF"/>
    <w:rsid w:val="008F04DC"/>
    <w:rsid w:val="009855F1"/>
    <w:rsid w:val="00A55ED4"/>
    <w:rsid w:val="00B80F74"/>
    <w:rsid w:val="00BB0356"/>
    <w:rsid w:val="00C07CC0"/>
    <w:rsid w:val="00C17D42"/>
    <w:rsid w:val="00C94816"/>
    <w:rsid w:val="00C963E8"/>
    <w:rsid w:val="00D01B32"/>
    <w:rsid w:val="00D858F6"/>
    <w:rsid w:val="00DA18D6"/>
    <w:rsid w:val="00E14576"/>
    <w:rsid w:val="00E5118C"/>
    <w:rsid w:val="00E81B68"/>
    <w:rsid w:val="00E82A03"/>
    <w:rsid w:val="00ED5CF0"/>
    <w:rsid w:val="00EE542B"/>
    <w:rsid w:val="00EF79AC"/>
    <w:rsid w:val="00F61E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687050A"/>
  <w15:chartTrackingRefBased/>
  <w15:docId w15:val="{3C6EB001-D8FF-4241-8174-71D122091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E54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E54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E54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E54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E54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E54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54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54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54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54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54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54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54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54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54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54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54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542B"/>
    <w:rPr>
      <w:rFonts w:eastAsiaTheme="majorEastAsia" w:cstheme="majorBidi"/>
      <w:color w:val="272727" w:themeColor="text1" w:themeTint="D8"/>
    </w:rPr>
  </w:style>
  <w:style w:type="paragraph" w:styleId="Title">
    <w:name w:val="Title"/>
    <w:basedOn w:val="Normal"/>
    <w:next w:val="Normal"/>
    <w:link w:val="TitleChar"/>
    <w:uiPriority w:val="10"/>
    <w:qFormat/>
    <w:rsid w:val="00EE54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54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54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54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542B"/>
    <w:pPr>
      <w:spacing w:before="160"/>
      <w:jc w:val="center"/>
    </w:pPr>
    <w:rPr>
      <w:i/>
      <w:iCs/>
      <w:color w:val="404040" w:themeColor="text1" w:themeTint="BF"/>
    </w:rPr>
  </w:style>
  <w:style w:type="character" w:customStyle="1" w:styleId="QuoteChar">
    <w:name w:val="Quote Char"/>
    <w:basedOn w:val="DefaultParagraphFont"/>
    <w:link w:val="Quote"/>
    <w:uiPriority w:val="29"/>
    <w:rsid w:val="00EE542B"/>
    <w:rPr>
      <w:i/>
      <w:iCs/>
      <w:color w:val="404040" w:themeColor="text1" w:themeTint="BF"/>
    </w:rPr>
  </w:style>
  <w:style w:type="paragraph" w:styleId="ListParagraph">
    <w:name w:val="List Paragraph"/>
    <w:basedOn w:val="Normal"/>
    <w:uiPriority w:val="34"/>
    <w:qFormat/>
    <w:rsid w:val="00EE542B"/>
    <w:pPr>
      <w:ind w:left="720"/>
      <w:contextualSpacing/>
    </w:pPr>
  </w:style>
  <w:style w:type="character" w:styleId="IntenseEmphasis">
    <w:name w:val="Intense Emphasis"/>
    <w:basedOn w:val="DefaultParagraphFont"/>
    <w:uiPriority w:val="21"/>
    <w:qFormat/>
    <w:rsid w:val="00EE542B"/>
    <w:rPr>
      <w:i/>
      <w:iCs/>
      <w:color w:val="0F4761" w:themeColor="accent1" w:themeShade="BF"/>
    </w:rPr>
  </w:style>
  <w:style w:type="paragraph" w:styleId="IntenseQuote">
    <w:name w:val="Intense Quote"/>
    <w:basedOn w:val="Normal"/>
    <w:next w:val="Normal"/>
    <w:link w:val="IntenseQuoteChar"/>
    <w:uiPriority w:val="30"/>
    <w:qFormat/>
    <w:rsid w:val="00EE54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E542B"/>
    <w:rPr>
      <w:i/>
      <w:iCs/>
      <w:color w:val="0F4761" w:themeColor="accent1" w:themeShade="BF"/>
    </w:rPr>
  </w:style>
  <w:style w:type="character" w:styleId="IntenseReference">
    <w:name w:val="Intense Reference"/>
    <w:basedOn w:val="DefaultParagraphFont"/>
    <w:uiPriority w:val="32"/>
    <w:qFormat/>
    <w:rsid w:val="00EE542B"/>
    <w:rPr>
      <w:b/>
      <w:bCs/>
      <w:smallCaps/>
      <w:color w:val="0F4761" w:themeColor="accent1" w:themeShade="BF"/>
      <w:spacing w:val="5"/>
    </w:rPr>
  </w:style>
  <w:style w:type="paragraph" w:customStyle="1" w:styleId="p1">
    <w:name w:val="p1"/>
    <w:basedOn w:val="Normal"/>
    <w:rsid w:val="00ED5CF0"/>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p2">
    <w:name w:val="p2"/>
    <w:basedOn w:val="Normal"/>
    <w:rsid w:val="00ED5CF0"/>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FootnoteText">
    <w:name w:val="footnote text"/>
    <w:basedOn w:val="Normal"/>
    <w:link w:val="FootnoteTextChar"/>
    <w:uiPriority w:val="99"/>
    <w:semiHidden/>
    <w:unhideWhenUsed/>
    <w:rsid w:val="00736A9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36A93"/>
    <w:rPr>
      <w:sz w:val="20"/>
      <w:szCs w:val="20"/>
    </w:rPr>
  </w:style>
  <w:style w:type="character" w:styleId="FootnoteReference">
    <w:name w:val="footnote reference"/>
    <w:basedOn w:val="DefaultParagraphFont"/>
    <w:uiPriority w:val="99"/>
    <w:semiHidden/>
    <w:unhideWhenUsed/>
    <w:rsid w:val="00736A93"/>
    <w:rPr>
      <w:vertAlign w:val="superscript"/>
    </w:rPr>
  </w:style>
  <w:style w:type="paragraph" w:styleId="Revision">
    <w:name w:val="Revision"/>
    <w:hidden/>
    <w:uiPriority w:val="99"/>
    <w:semiHidden/>
    <w:rsid w:val="00E82A0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8167616">
      <w:bodyDiv w:val="1"/>
      <w:marLeft w:val="0"/>
      <w:marRight w:val="0"/>
      <w:marTop w:val="0"/>
      <w:marBottom w:val="0"/>
      <w:divBdr>
        <w:top w:val="none" w:sz="0" w:space="0" w:color="auto"/>
        <w:left w:val="none" w:sz="0" w:space="0" w:color="auto"/>
        <w:bottom w:val="none" w:sz="0" w:space="0" w:color="auto"/>
        <w:right w:val="none" w:sz="0" w:space="0" w:color="auto"/>
      </w:divBdr>
    </w:div>
    <w:div w:id="725881076">
      <w:bodyDiv w:val="1"/>
      <w:marLeft w:val="0"/>
      <w:marRight w:val="0"/>
      <w:marTop w:val="0"/>
      <w:marBottom w:val="0"/>
      <w:divBdr>
        <w:top w:val="none" w:sz="0" w:space="0" w:color="auto"/>
        <w:left w:val="none" w:sz="0" w:space="0" w:color="auto"/>
        <w:bottom w:val="none" w:sz="0" w:space="0" w:color="auto"/>
        <w:right w:val="none" w:sz="0" w:space="0" w:color="auto"/>
      </w:divBdr>
    </w:div>
    <w:div w:id="1033849790">
      <w:bodyDiv w:val="1"/>
      <w:marLeft w:val="0"/>
      <w:marRight w:val="0"/>
      <w:marTop w:val="0"/>
      <w:marBottom w:val="0"/>
      <w:divBdr>
        <w:top w:val="none" w:sz="0" w:space="0" w:color="auto"/>
        <w:left w:val="none" w:sz="0" w:space="0" w:color="auto"/>
        <w:bottom w:val="none" w:sz="0" w:space="0" w:color="auto"/>
        <w:right w:val="none" w:sz="0" w:space="0" w:color="auto"/>
      </w:divBdr>
    </w:div>
    <w:div w:id="1195994745">
      <w:bodyDiv w:val="1"/>
      <w:marLeft w:val="0"/>
      <w:marRight w:val="0"/>
      <w:marTop w:val="0"/>
      <w:marBottom w:val="0"/>
      <w:divBdr>
        <w:top w:val="none" w:sz="0" w:space="0" w:color="auto"/>
        <w:left w:val="none" w:sz="0" w:space="0" w:color="auto"/>
        <w:bottom w:val="none" w:sz="0" w:space="0" w:color="auto"/>
        <w:right w:val="none" w:sz="0" w:space="0" w:color="auto"/>
      </w:divBdr>
    </w:div>
    <w:div w:id="1316493980">
      <w:bodyDiv w:val="1"/>
      <w:marLeft w:val="0"/>
      <w:marRight w:val="0"/>
      <w:marTop w:val="0"/>
      <w:marBottom w:val="0"/>
      <w:divBdr>
        <w:top w:val="none" w:sz="0" w:space="0" w:color="auto"/>
        <w:left w:val="none" w:sz="0" w:space="0" w:color="auto"/>
        <w:bottom w:val="none" w:sz="0" w:space="0" w:color="auto"/>
        <w:right w:val="none" w:sz="0" w:space="0" w:color="auto"/>
      </w:divBdr>
      <w:divsChild>
        <w:div w:id="1265531701">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1875339191">
      <w:bodyDiv w:val="1"/>
      <w:marLeft w:val="0"/>
      <w:marRight w:val="0"/>
      <w:marTop w:val="0"/>
      <w:marBottom w:val="0"/>
      <w:divBdr>
        <w:top w:val="none" w:sz="0" w:space="0" w:color="auto"/>
        <w:left w:val="none" w:sz="0" w:space="0" w:color="auto"/>
        <w:bottom w:val="none" w:sz="0" w:space="0" w:color="auto"/>
        <w:right w:val="none" w:sz="0" w:space="0" w:color="auto"/>
      </w:divBdr>
    </w:div>
    <w:div w:id="1910773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036F57-C0F2-5B46-AA53-6D3497E08C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205</TotalTime>
  <Pages>5</Pages>
  <Words>1084</Words>
  <Characters>6179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Tupy, George</dc:creator>
  <cp:keywords/>
  <dc:description/>
  <cp:lastModifiedBy>Tupy, George</cp:lastModifiedBy>
  <cp:revision>7</cp:revision>
  <dcterms:created xsi:type="dcterms:W3CDTF">2025-05-04T23:23:00Z</dcterms:created>
  <dcterms:modified xsi:type="dcterms:W3CDTF">2026-01-12T00:47:00Z</dcterms:modified>
</cp:coreProperties>
</file>